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9C390D2"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E71D68">
        <w:rPr>
          <w:bCs/>
          <w:noProof w:val="0"/>
          <w:sz w:val="24"/>
          <w:szCs w:val="24"/>
          <w:lang w:val="en-GB"/>
        </w:rPr>
        <w:t>12</w:t>
      </w:r>
      <w:r w:rsidR="002E4A37">
        <w:rPr>
          <w:bCs/>
          <w:noProof w:val="0"/>
          <w:sz w:val="24"/>
          <w:szCs w:val="24"/>
          <w:lang w:val="en-GB"/>
        </w:rPr>
        <w:t>2</w:t>
      </w:r>
      <w:r w:rsidR="005766B6">
        <w:rPr>
          <w:bCs/>
          <w:noProof w:val="0"/>
          <w:sz w:val="24"/>
          <w:szCs w:val="24"/>
          <w:lang w:val="en-GB"/>
        </w:rPr>
        <w:t>bis</w:t>
      </w:r>
      <w:r w:rsidR="00E71D68">
        <w:rPr>
          <w:bCs/>
          <w:noProof w:val="0"/>
          <w:sz w:val="24"/>
          <w:szCs w:val="24"/>
          <w:lang w:val="en-GB"/>
        </w:rPr>
        <w:t xml:space="preserve"> </w:t>
      </w:r>
      <w:r w:rsidR="00034C8A" w:rsidRPr="008A290F">
        <w:rPr>
          <w:lang w:val="en-GB"/>
        </w:rPr>
        <w:t xml:space="preserve">                         </w:t>
      </w:r>
      <w:r w:rsidR="008205DF">
        <w:rPr>
          <w:lang w:val="en-GB"/>
        </w:rPr>
        <w:t xml:space="preserve">                  </w:t>
      </w:r>
      <w:r w:rsidR="00801232">
        <w:rPr>
          <w:lang w:val="en-GB"/>
        </w:rPr>
        <w:t xml:space="preserve">               </w:t>
      </w:r>
      <w:r w:rsidR="006B41F4">
        <w:rPr>
          <w:lang w:val="en-GB"/>
        </w:rPr>
        <w:t xml:space="preserve">     </w:t>
      </w:r>
      <w:r w:rsidR="00801232">
        <w:rPr>
          <w:lang w:val="en-GB"/>
        </w:rPr>
        <w:t xml:space="preserve">           </w:t>
      </w:r>
      <w:r w:rsidR="00EA2DAE">
        <w:rPr>
          <w:lang w:val="en-GB"/>
        </w:rPr>
        <w:t xml:space="preserve"> </w:t>
      </w:r>
      <w:r w:rsidR="006F1DD2">
        <w:rPr>
          <w:lang w:val="en-GB"/>
        </w:rPr>
        <w:t xml:space="preserve">  </w:t>
      </w:r>
      <w:r w:rsidR="00191961">
        <w:rPr>
          <w:lang w:val="en-GB"/>
        </w:rPr>
        <w:t xml:space="preserve"> </w:t>
      </w:r>
      <w:r w:rsidR="006F1DD2" w:rsidRPr="006F1DD2">
        <w:rPr>
          <w:sz w:val="24"/>
          <w:szCs w:val="24"/>
          <w:lang w:val="en-GB"/>
        </w:rPr>
        <w:t>R1-2507574</w:t>
      </w:r>
    </w:p>
    <w:bookmarkEnd w:id="1"/>
    <w:p w14:paraId="5DFD33D6" w14:textId="4929CA7D" w:rsidR="002E4A37" w:rsidRPr="002E4A37" w:rsidRDefault="005766B6" w:rsidP="002E4A37">
      <w:pPr>
        <w:tabs>
          <w:tab w:val="center" w:pos="4536"/>
          <w:tab w:val="right" w:pos="9072"/>
        </w:tabs>
        <w:rPr>
          <w:rFonts w:ascii="Arial" w:eastAsia="MS Mincho" w:hAnsi="Arial" w:cs="Arial"/>
          <w:b/>
          <w:bCs/>
          <w:sz w:val="24"/>
          <w:szCs w:val="18"/>
          <w:lang w:eastAsia="ja-JP"/>
        </w:rPr>
      </w:pPr>
      <w:r>
        <w:rPr>
          <w:rFonts w:ascii="Arial" w:hAnsi="Arial" w:cs="Arial"/>
          <w:b/>
          <w:bCs/>
          <w:sz w:val="24"/>
          <w:szCs w:val="18"/>
        </w:rPr>
        <w:t>Prague</w:t>
      </w:r>
      <w:r w:rsidR="002E4A37" w:rsidRPr="002E4A37">
        <w:rPr>
          <w:rFonts w:ascii="Arial" w:hAnsi="Arial" w:cs="Arial"/>
          <w:b/>
          <w:bCs/>
          <w:sz w:val="24"/>
          <w:szCs w:val="18"/>
        </w:rPr>
        <w:t xml:space="preserve">, </w:t>
      </w:r>
      <w:r>
        <w:rPr>
          <w:rFonts w:ascii="Arial" w:hAnsi="Arial" w:cs="Arial"/>
          <w:b/>
          <w:bCs/>
          <w:sz w:val="24"/>
          <w:szCs w:val="18"/>
        </w:rPr>
        <w:t>Czech</w:t>
      </w:r>
      <w:r w:rsidR="002E4A37" w:rsidRPr="002E4A37">
        <w:rPr>
          <w:rFonts w:ascii="Arial" w:hAnsi="Arial" w:cs="Arial"/>
          <w:b/>
          <w:bCs/>
          <w:sz w:val="24"/>
          <w:szCs w:val="18"/>
        </w:rPr>
        <w:t xml:space="preserve">, </w:t>
      </w:r>
      <w:r>
        <w:rPr>
          <w:rFonts w:ascii="Arial" w:hAnsi="Arial" w:cs="Arial"/>
          <w:b/>
          <w:bCs/>
          <w:sz w:val="24"/>
          <w:szCs w:val="18"/>
        </w:rPr>
        <w:t>Oct</w:t>
      </w:r>
      <w:r w:rsidR="002E4A37" w:rsidRPr="002E4A37">
        <w:rPr>
          <w:rFonts w:ascii="Arial" w:hAnsi="Arial" w:cs="Arial"/>
          <w:b/>
          <w:bCs/>
          <w:sz w:val="24"/>
          <w:szCs w:val="18"/>
        </w:rPr>
        <w:t xml:space="preserve"> </w:t>
      </w:r>
      <w:r>
        <w:rPr>
          <w:rFonts w:ascii="Arial" w:eastAsia="DengXian" w:hAnsi="Arial" w:cs="Arial"/>
          <w:b/>
          <w:bCs/>
          <w:sz w:val="24"/>
          <w:szCs w:val="18"/>
          <w:lang w:eastAsia="zh-CN"/>
        </w:rPr>
        <w:t>13</w:t>
      </w:r>
      <w:r w:rsidR="002E4A37" w:rsidRPr="002E4A37">
        <w:rPr>
          <w:rFonts w:ascii="Malgun Gothic" w:eastAsia="Malgun Gothic" w:hAnsi="Malgun Gothic" w:cs="Malgun Gothic" w:hint="eastAsia"/>
          <w:b/>
          <w:bCs/>
          <w:sz w:val="24"/>
          <w:szCs w:val="18"/>
          <w:vertAlign w:val="superscript"/>
          <w:lang w:eastAsia="ko-KR"/>
        </w:rPr>
        <w:t>th</w:t>
      </w:r>
      <w:r w:rsidR="002E4A37" w:rsidRPr="002E4A37">
        <w:rPr>
          <w:rFonts w:ascii="Arial" w:eastAsia="MS Mincho" w:hAnsi="Arial" w:cs="Arial"/>
          <w:b/>
          <w:bCs/>
          <w:sz w:val="24"/>
          <w:szCs w:val="18"/>
          <w:lang w:eastAsia="ja-JP"/>
        </w:rPr>
        <w:t xml:space="preserve"> </w:t>
      </w:r>
      <w:r w:rsidR="002E4A37" w:rsidRPr="002E4A37">
        <w:rPr>
          <w:rFonts w:ascii="Arial" w:hAnsi="Arial" w:cs="Arial"/>
          <w:b/>
          <w:bCs/>
          <w:sz w:val="24"/>
          <w:szCs w:val="18"/>
        </w:rPr>
        <w:t xml:space="preserve">– </w:t>
      </w:r>
      <w:r>
        <w:rPr>
          <w:rFonts w:ascii="Arial" w:hAnsi="Arial" w:cs="Arial"/>
          <w:b/>
          <w:bCs/>
          <w:sz w:val="24"/>
          <w:szCs w:val="18"/>
        </w:rPr>
        <w:t>17</w:t>
      </w:r>
      <w:r w:rsidR="002E4A37" w:rsidRPr="002E4A37">
        <w:rPr>
          <w:rFonts w:ascii="Arial" w:hAnsi="Arial" w:cs="Arial"/>
          <w:b/>
          <w:bCs/>
          <w:sz w:val="24"/>
          <w:szCs w:val="18"/>
          <w:vertAlign w:val="superscript"/>
        </w:rPr>
        <w:t>th</w:t>
      </w:r>
      <w:r w:rsidR="002E4A37" w:rsidRPr="002E4A37">
        <w:rPr>
          <w:rFonts w:ascii="Arial" w:eastAsia="MS Mincho" w:hAnsi="Arial" w:cs="Arial"/>
          <w:b/>
          <w:bCs/>
          <w:sz w:val="24"/>
          <w:szCs w:val="18"/>
          <w:lang w:eastAsia="ja-JP"/>
        </w:rPr>
        <w:t>, 2025</w:t>
      </w:r>
    </w:p>
    <w:p w14:paraId="30E02941" w14:textId="25BC39A7"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2E4A37">
        <w:rPr>
          <w:rFonts w:cs="Arial"/>
          <w:b/>
          <w:bCs/>
          <w:sz w:val="24"/>
          <w:szCs w:val="24"/>
        </w:rPr>
        <w:t>8</w:t>
      </w:r>
      <w:r w:rsidR="00CC7843" w:rsidRPr="008A290F">
        <w:rPr>
          <w:rFonts w:cs="Arial"/>
          <w:b/>
          <w:bCs/>
          <w:sz w:val="24"/>
          <w:szCs w:val="24"/>
        </w:rPr>
        <w:t>.</w:t>
      </w:r>
      <w:r w:rsidR="00675EB7" w:rsidRPr="008A290F">
        <w:rPr>
          <w:rFonts w:cs="Arial"/>
          <w:b/>
          <w:bCs/>
          <w:sz w:val="24"/>
          <w:szCs w:val="24"/>
        </w:rPr>
        <w:t>3</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468808CE"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056068" w:rsidRPr="00056068">
        <w:rPr>
          <w:rFonts w:ascii="Arial" w:hAnsi="Arial" w:cs="Arial"/>
          <w:b/>
          <w:bCs/>
          <w:sz w:val="24"/>
        </w:rPr>
        <w:t>Maintenance on R19 SBFD operation</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2D0F4ED8" w14:textId="43B62B2D" w:rsidR="00884C56" w:rsidRPr="00100B14" w:rsidRDefault="00EE7FA7" w:rsidP="00100B14">
      <w:pPr>
        <w:pStyle w:val="Heading1"/>
        <w:jc w:val="both"/>
      </w:pPr>
      <w:r w:rsidRPr="008A290F">
        <w:t>Introduction</w:t>
      </w:r>
    </w:p>
    <w:p w14:paraId="0C48C550" w14:textId="2DAEC8CE" w:rsidR="00036C05"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w:t>
      </w:r>
      <w:r w:rsidR="00D459D4">
        <w:rPr>
          <w:rFonts w:ascii="Times New Roman" w:hAnsi="Times New Roman"/>
          <w:b w:val="0"/>
          <w:bCs/>
          <w:sz w:val="20"/>
          <w:lang w:val="en-GB" w:eastAsia="zh-TW"/>
        </w:rPr>
        <w:t>remiaining issues</w:t>
      </w:r>
      <w:r w:rsidR="00036C05">
        <w:rPr>
          <w:rFonts w:ascii="Times New Roman" w:hAnsi="Times New Roman"/>
          <w:b w:val="0"/>
          <w:bCs/>
          <w:sz w:val="20"/>
          <w:lang w:val="en-GB" w:eastAsia="zh-TW"/>
        </w:rPr>
        <w:t xml:space="preserve"> on evolution of NR duplex operation (SBFD), including issues on </w:t>
      </w:r>
      <w:r w:rsidR="00D459D4">
        <w:rPr>
          <w:rFonts w:ascii="Times New Roman" w:hAnsi="Times New Roman"/>
          <w:b w:val="0"/>
          <w:bCs/>
          <w:sz w:val="20"/>
          <w:lang w:val="en-GB" w:eastAsia="zh-TW"/>
        </w:rPr>
        <w:t xml:space="preserve">SBFD Tx/Rx/measurement procedures, </w:t>
      </w:r>
      <w:r w:rsidR="00036C05">
        <w:rPr>
          <w:rFonts w:ascii="Times New Roman" w:hAnsi="Times New Roman"/>
          <w:b w:val="0"/>
          <w:bCs/>
          <w:sz w:val="20"/>
          <w:lang w:val="en-GB" w:eastAsia="zh-TW"/>
        </w:rPr>
        <w:t xml:space="preserve">issues on SBFD random access operation and issues on CLI measurements. </w:t>
      </w:r>
    </w:p>
    <w:p w14:paraId="10445A01" w14:textId="13CC1BA3" w:rsidR="00885580" w:rsidRPr="008A290F" w:rsidRDefault="002B609D" w:rsidP="005D664D">
      <w:pPr>
        <w:pStyle w:val="Heading1"/>
        <w:ind w:left="431" w:hanging="431"/>
        <w:jc w:val="both"/>
      </w:pPr>
      <w:r w:rsidRPr="008A290F">
        <w:t>Discussion</w:t>
      </w:r>
    </w:p>
    <w:p w14:paraId="09C4B162" w14:textId="2269ECC0" w:rsidR="008B6EE2" w:rsidRDefault="00036C05" w:rsidP="008B6EE2">
      <w:pPr>
        <w:pStyle w:val="Heading2"/>
        <w:jc w:val="both"/>
      </w:pPr>
      <w:bookmarkStart w:id="2" w:name="OLE_LINK38"/>
      <w:r>
        <w:t xml:space="preserve">SBFD </w:t>
      </w:r>
      <w:r w:rsidR="00885B2D" w:rsidRPr="008A290F">
        <w:t>T</w:t>
      </w:r>
      <w:r w:rsidR="00516F16">
        <w:t>x</w:t>
      </w:r>
      <w:r w:rsidR="00885B2D" w:rsidRPr="008A290F">
        <w:t>/R</w:t>
      </w:r>
      <w:r w:rsidR="00516F16">
        <w:t>x</w:t>
      </w:r>
      <w:r w:rsidR="008B6EE2">
        <w:t>/Measurement</w:t>
      </w:r>
      <w:r w:rsidR="00885B2D" w:rsidRPr="008A290F">
        <w:t xml:space="preserve"> </w:t>
      </w:r>
      <w:r>
        <w:t>Procedures</w:t>
      </w:r>
      <w:r w:rsidR="00885B2D" w:rsidRPr="008A290F">
        <w:t xml:space="preserve"> </w:t>
      </w:r>
    </w:p>
    <w:p w14:paraId="48CC3068" w14:textId="0223504C" w:rsidR="002266D4" w:rsidRPr="002266D4" w:rsidRDefault="002266D4" w:rsidP="002266D4">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Pr>
          <w:rFonts w:ascii="Times New Roman" w:hAnsi="Times New Roman"/>
          <w:b w:val="0"/>
          <w:bCs/>
          <w:sz w:val="20"/>
          <w:lang w:val="en-GB" w:eastAsia="zh-TW"/>
        </w:rPr>
        <w:t xml:space="preserve">In this </w:t>
      </w:r>
      <w:r w:rsidR="00A02034">
        <w:rPr>
          <w:rFonts w:ascii="Times New Roman" w:hAnsi="Times New Roman"/>
          <w:b w:val="0"/>
          <w:bCs/>
          <w:sz w:val="20"/>
          <w:lang w:val="en-GB" w:eastAsia="zh-TW"/>
        </w:rPr>
        <w:t>section</w:t>
      </w:r>
      <w:r>
        <w:rPr>
          <w:rFonts w:ascii="Times New Roman" w:hAnsi="Times New Roman"/>
          <w:b w:val="0"/>
          <w:bCs/>
          <w:sz w:val="20"/>
          <w:lang w:val="en-GB" w:eastAsia="zh-TW"/>
        </w:rPr>
        <w:t xml:space="preserve">, we discuss remiaining issues on SBFD Tx/Rx/measurement procedures. </w:t>
      </w:r>
    </w:p>
    <w:bookmarkEnd w:id="2"/>
    <w:p w14:paraId="40BBC403" w14:textId="77777777" w:rsidR="001828E0" w:rsidRDefault="001828E0" w:rsidP="001828E0">
      <w:pPr>
        <w:spacing w:before="120"/>
        <w:jc w:val="both"/>
        <w:rPr>
          <w:b/>
          <w:bCs/>
          <w:u w:val="single"/>
        </w:rPr>
      </w:pPr>
      <w:r>
        <w:rPr>
          <w:b/>
          <w:bCs/>
          <w:u w:val="single"/>
        </w:rPr>
        <w:t>DMRS Sequence Mapping for PUSCH</w:t>
      </w:r>
    </w:p>
    <w:tbl>
      <w:tblPr>
        <w:tblStyle w:val="TableGrid"/>
        <w:tblW w:w="0" w:type="auto"/>
        <w:tblInd w:w="108" w:type="dxa"/>
        <w:tblBorders>
          <w:top w:val="none" w:sz="0" w:space="0" w:color="auto"/>
          <w:insideH w:val="none" w:sz="0" w:space="0" w:color="auto"/>
          <w:insideV w:val="none" w:sz="0" w:space="0" w:color="auto"/>
        </w:tblBorders>
        <w:tblLook w:val="04A0" w:firstRow="1" w:lastRow="0" w:firstColumn="1" w:lastColumn="0" w:noHBand="0" w:noVBand="1"/>
      </w:tblPr>
      <w:tblGrid>
        <w:gridCol w:w="9639"/>
      </w:tblGrid>
      <w:tr w:rsidR="00D86A8A" w14:paraId="18EEF379" w14:textId="77777777" w:rsidTr="00D86A8A">
        <w:tc>
          <w:tcPr>
            <w:tcW w:w="9639" w:type="dxa"/>
            <w:tcBorders>
              <w:top w:val="nil"/>
              <w:left w:val="single" w:sz="4" w:space="0" w:color="auto"/>
              <w:bottom w:val="single" w:sz="4" w:space="0" w:color="auto"/>
              <w:right w:val="single" w:sz="4" w:space="0" w:color="auto"/>
            </w:tcBorders>
            <w:hideMark/>
          </w:tcPr>
          <w:p w14:paraId="7DF03C4D" w14:textId="6454B18D" w:rsidR="00D86A8A" w:rsidRDefault="00D86A8A">
            <w:pPr>
              <w:spacing w:after="0"/>
              <w:rPr>
                <w:rFonts w:eastAsia="Malgun Gothic"/>
                <w:b/>
                <w:szCs w:val="24"/>
                <w:lang w:val="en-US" w:eastAsia="zh-CN"/>
              </w:rPr>
            </w:pPr>
            <w:r>
              <w:rPr>
                <w:rFonts w:eastAsia="Malgun Gothic"/>
                <w:b/>
                <w:szCs w:val="24"/>
                <w:highlight w:val="green"/>
                <w:lang w:val="en-US" w:eastAsia="zh-CN"/>
              </w:rPr>
              <w:t>Agreement</w:t>
            </w:r>
          </w:p>
          <w:p w14:paraId="0446531B" w14:textId="77777777" w:rsidR="00D86A8A" w:rsidRDefault="00D86A8A">
            <w:pPr>
              <w:spacing w:after="0"/>
              <w:jc w:val="both"/>
              <w:rPr>
                <w:rFonts w:eastAsia="Malgun Gothic"/>
                <w:szCs w:val="24"/>
                <w:lang w:val="en-US" w:eastAsia="zh-CN"/>
              </w:rPr>
            </w:pPr>
            <w:r>
              <w:rPr>
                <w:rFonts w:eastAsia="Malgun Gothic"/>
                <w:szCs w:val="24"/>
                <w:lang w:val="en-US" w:eastAsia="zh-CN"/>
              </w:rPr>
              <w:t>For a PDSCH/PUSCH with assigned PRBs overlapping with SBFD subband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tc>
      </w:tr>
    </w:tbl>
    <w:p w14:paraId="1232815C" w14:textId="77777777" w:rsidR="007A7998" w:rsidRDefault="007A7998" w:rsidP="007A7998">
      <w:pPr>
        <w:spacing w:before="120"/>
        <w:jc w:val="both"/>
      </w:pPr>
      <w:r w:rsidRPr="00517079">
        <w:t>In</w:t>
      </w:r>
      <w:r>
        <w:t xml:space="preserve"> RAN1#118bis, RAN1 agreed that in the scenario where assigned PRBs for PDSCH/PUSCH overlaps </w:t>
      </w:r>
      <w:r>
        <w:rPr>
          <w:rFonts w:eastAsia="Malgun Gothic"/>
          <w:szCs w:val="24"/>
          <w:lang w:eastAsia="zh-CN"/>
        </w:rPr>
        <w:t>with SBFD subband boundary and only the PRBs within DL/UL usable PRBs are valid for PDSCH/PUSCH reception/transmission,</w:t>
      </w:r>
      <w:r>
        <w:t xml:space="preserve"> legacy DMRS sequence mapping </w:t>
      </w:r>
      <w:r>
        <w:rPr>
          <w:rFonts w:eastAsia="Malgun Gothic"/>
          <w:szCs w:val="24"/>
          <w:lang w:eastAsia="zh-CN"/>
        </w:rPr>
        <w:t xml:space="preserve">is applied to assigned PRBs within DL/UL usable PRBs only. </w:t>
      </w:r>
    </w:p>
    <w:p w14:paraId="36996536" w14:textId="77777777" w:rsidR="007A7998" w:rsidRDefault="007A7998" w:rsidP="007A7998">
      <w:pPr>
        <w:spacing w:before="120"/>
        <w:jc w:val="both"/>
      </w:pPr>
      <w:r>
        <w:t xml:space="preserve">In the existing specification, when mapping PUSCH DMRS to physical resources the reference point for subcarrier </w:t>
      </w:r>
      <w:r w:rsidRPr="00E522E9">
        <w:rPr>
          <w:i/>
          <w:iCs/>
        </w:rPr>
        <w:t>k</w:t>
      </w:r>
      <w:r>
        <w:rPr>
          <w:i/>
          <w:iCs/>
        </w:rPr>
        <w:t xml:space="preserve"> </w:t>
      </w:r>
      <w:r>
        <w:t>depends on whether or not transform precoding is enabled. If transform precoding is enabled, the reference point is determined as “</w:t>
      </w:r>
      <w:r w:rsidRPr="00E522E9">
        <w:rPr>
          <w:b/>
          <w:bCs/>
          <w:i/>
          <w:iCs/>
        </w:rPr>
        <w:t>subcarrier 0 of the lowest-numbered resource block of the scheduled PUSCH allocation</w:t>
      </w:r>
      <w:r>
        <w:rPr>
          <w:b/>
          <w:bCs/>
          <w:i/>
          <w:iCs/>
        </w:rPr>
        <w:t>”</w:t>
      </w:r>
      <w:r>
        <w:t xml:space="preserve">. </w:t>
      </w:r>
    </w:p>
    <w:p w14:paraId="27A5DC44" w14:textId="77777777" w:rsidR="007A7998" w:rsidRDefault="007A7998" w:rsidP="007A7998">
      <w:pPr>
        <w:spacing w:before="120"/>
        <w:jc w:val="center"/>
      </w:pPr>
      <w:r>
        <w:rPr>
          <w:noProof/>
        </w:rPr>
        <w:drawing>
          <wp:inline distT="0" distB="0" distL="0" distR="0" wp14:anchorId="13046DD0" wp14:editId="66D99173">
            <wp:extent cx="2914268" cy="1523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8188" cy="1530687"/>
                    </a:xfrm>
                    <a:prstGeom prst="rect">
                      <a:avLst/>
                    </a:prstGeom>
                    <a:noFill/>
                  </pic:spPr>
                </pic:pic>
              </a:graphicData>
            </a:graphic>
          </wp:inline>
        </w:drawing>
      </w:r>
    </w:p>
    <w:p w14:paraId="20FFDE6B" w14:textId="6373C2E0" w:rsidR="007A7998" w:rsidRPr="00262BD3" w:rsidRDefault="007A7998" w:rsidP="007A7998">
      <w:pPr>
        <w:jc w:val="center"/>
        <w:rPr>
          <w:rFonts w:eastAsia="Malgun Gothic"/>
          <w:i/>
          <w:iCs/>
          <w:lang w:eastAsia="ko-KR"/>
        </w:rPr>
      </w:pPr>
      <w:r>
        <w:rPr>
          <w:bdr w:val="none" w:sz="0" w:space="0" w:color="auto" w:frame="1"/>
        </w:rPr>
        <w:t xml:space="preserve">Figure </w:t>
      </w:r>
      <w:r>
        <w:fldChar w:fldCharType="begin"/>
      </w:r>
      <w:r>
        <w:instrText xml:space="preserve"> SEQ Figure \* ARABIC </w:instrText>
      </w:r>
      <w:r>
        <w:fldChar w:fldCharType="separate"/>
      </w:r>
      <w:r w:rsidR="00331C9F">
        <w:rPr>
          <w:noProof/>
        </w:rPr>
        <w:t>1</w:t>
      </w:r>
      <w:r>
        <w:fldChar w:fldCharType="end"/>
      </w:r>
      <w:r>
        <w:rPr>
          <w:bdr w:val="none" w:sz="0" w:space="0" w:color="auto" w:frame="1"/>
        </w:rPr>
        <w:t>: Resource availability for DMRS Sequence Mapping</w:t>
      </w:r>
      <w:r>
        <w:rPr>
          <w:rFonts w:eastAsia="Malgun Gothic"/>
          <w:i/>
          <w:iCs/>
          <w:lang w:eastAsia="ko-KR"/>
        </w:rPr>
        <w:t>.</w:t>
      </w:r>
    </w:p>
    <w:p w14:paraId="6D954E11" w14:textId="196FB9B1" w:rsidR="007A7998" w:rsidRDefault="007A7998" w:rsidP="007A7998">
      <w:pPr>
        <w:spacing w:after="0"/>
        <w:jc w:val="both"/>
      </w:pPr>
      <w:r>
        <w:t xml:space="preserve">In </w:t>
      </w:r>
      <w:r w:rsidR="00BF5F94">
        <w:t>the scenario</w:t>
      </w:r>
      <w:r>
        <w:t xml:space="preserve"> where the scheduled PUSCH allocation overlaps with SBFD boundary, if transform precoding is enabled </w:t>
      </w:r>
      <w:bookmarkStart w:id="3" w:name="OLE_LINK64"/>
      <w:r w:rsidR="00A34B31">
        <w:t xml:space="preserve">the </w:t>
      </w:r>
      <w:r>
        <w:t xml:space="preserve">above RAN1 agreement </w:t>
      </w:r>
      <w:r w:rsidR="00A34B31">
        <w:t xml:space="preserve">may be interpreted in one of the following ways: </w:t>
      </w:r>
      <w:bookmarkEnd w:id="3"/>
    </w:p>
    <w:p w14:paraId="13E0DDBC" w14:textId="4A1E8C92" w:rsidR="007A7998" w:rsidRDefault="007A7998" w:rsidP="007A7998">
      <w:pPr>
        <w:pStyle w:val="ListParagraph"/>
        <w:numPr>
          <w:ilvl w:val="0"/>
          <w:numId w:val="73"/>
        </w:numPr>
        <w:jc w:val="both"/>
        <w:rPr>
          <w:sz w:val="20"/>
          <w:szCs w:val="20"/>
        </w:rPr>
      </w:pPr>
      <w:bookmarkStart w:id="4" w:name="OLE_LINK4"/>
      <w:r>
        <w:rPr>
          <w:sz w:val="20"/>
          <w:szCs w:val="20"/>
        </w:rPr>
        <w:t xml:space="preserve">Alt. 1: subcarrier 0 of the of the lowest-numbered RB of  </w:t>
      </w:r>
      <w:r>
        <w:rPr>
          <w:rFonts w:eastAsia="Malgun Gothic"/>
          <w:sz w:val="20"/>
          <w:szCs w:val="20"/>
        </w:rPr>
        <w:t xml:space="preserve">assigned PRBs within UL usable PRBs only. </w:t>
      </w:r>
    </w:p>
    <w:p w14:paraId="34A73D01" w14:textId="77777777" w:rsidR="007A7998" w:rsidRDefault="007A7998" w:rsidP="007A7998">
      <w:pPr>
        <w:pStyle w:val="ListParagraph"/>
        <w:numPr>
          <w:ilvl w:val="0"/>
          <w:numId w:val="73"/>
        </w:numPr>
        <w:jc w:val="both"/>
        <w:rPr>
          <w:sz w:val="20"/>
          <w:szCs w:val="20"/>
        </w:rPr>
      </w:pPr>
      <w:r>
        <w:rPr>
          <w:sz w:val="20"/>
          <w:szCs w:val="20"/>
        </w:rPr>
        <w:t xml:space="preserve">Alt. 2: subcarrier 0 of the of the lowest-numbered RB of  </w:t>
      </w:r>
      <w:r>
        <w:rPr>
          <w:rFonts w:eastAsia="Malgun Gothic"/>
          <w:sz w:val="20"/>
          <w:szCs w:val="20"/>
        </w:rPr>
        <w:t>assigned PRBs (as in legacy).</w:t>
      </w:r>
    </w:p>
    <w:bookmarkEnd w:id="4"/>
    <w:p w14:paraId="3FA48F34" w14:textId="37124043" w:rsidR="002D7699" w:rsidRPr="00137860" w:rsidRDefault="00A34B31" w:rsidP="00137860">
      <w:pPr>
        <w:spacing w:before="120"/>
        <w:jc w:val="both"/>
      </w:pPr>
      <w:r>
        <w:t>RAN1 should clarify the interpretation on the above agreement for this case</w:t>
      </w:r>
      <w:r w:rsidR="00B975BE">
        <w:t>, i.e., whether the above agreement is interpreted as Alt. 1 or Alt. 2</w:t>
      </w:r>
      <w:r>
        <w:t xml:space="preserve">. </w:t>
      </w:r>
    </w:p>
    <w:p w14:paraId="5363B487" w14:textId="1958795F" w:rsidR="00BF5F94" w:rsidRPr="00BF5F94" w:rsidRDefault="00BF5F94" w:rsidP="00844E6C">
      <w:pPr>
        <w:pStyle w:val="ListParagraph"/>
        <w:numPr>
          <w:ilvl w:val="0"/>
          <w:numId w:val="78"/>
        </w:numPr>
        <w:spacing w:before="120"/>
        <w:jc w:val="both"/>
        <w:rPr>
          <w:b/>
          <w:bCs/>
          <w:i/>
          <w:iCs/>
          <w:sz w:val="16"/>
          <w:szCs w:val="16"/>
          <w:lang w:eastAsia="zh-TW"/>
        </w:rPr>
      </w:pPr>
      <w:bookmarkStart w:id="5" w:name="OLE_LINK61"/>
      <w:r w:rsidRPr="00BF5F94">
        <w:rPr>
          <w:b/>
          <w:bCs/>
          <w:i/>
          <w:iCs/>
          <w:sz w:val="20"/>
          <w:szCs w:val="20"/>
        </w:rPr>
        <w:t xml:space="preserve">For PUSCH DMRS mapping </w:t>
      </w:r>
      <w:r w:rsidRPr="00BF5F94">
        <w:rPr>
          <w:b/>
          <w:bCs/>
          <w:i/>
          <w:iCs/>
          <w:sz w:val="20"/>
          <w:szCs w:val="20"/>
          <w:lang w:eastAsia="en-US"/>
        </w:rPr>
        <w:t>when scheduled PUSCH allocation overlaps with SBFD boundary and transform precoding is enabled</w:t>
      </w:r>
      <w:r>
        <w:rPr>
          <w:b/>
          <w:bCs/>
          <w:i/>
          <w:iCs/>
          <w:sz w:val="20"/>
          <w:szCs w:val="20"/>
          <w:lang w:eastAsia="en-US"/>
        </w:rPr>
        <w:t xml:space="preserve"> </w:t>
      </w:r>
      <w:r w:rsidRPr="00BF5F94">
        <w:rPr>
          <w:b/>
          <w:bCs/>
          <w:i/>
          <w:iCs/>
          <w:sz w:val="20"/>
          <w:szCs w:val="20"/>
        </w:rPr>
        <w:t>RAN1 to clarify</w:t>
      </w:r>
      <w:r>
        <w:rPr>
          <w:b/>
          <w:bCs/>
          <w:i/>
          <w:iCs/>
          <w:sz w:val="20"/>
          <w:szCs w:val="20"/>
        </w:rPr>
        <w:t xml:space="preserve"> whether </w:t>
      </w:r>
      <w:r w:rsidRPr="00BF5F94">
        <w:rPr>
          <w:b/>
          <w:bCs/>
          <w:i/>
          <w:iCs/>
          <w:sz w:val="20"/>
          <w:szCs w:val="20"/>
        </w:rPr>
        <w:t>the reference point for subcarrier k</w:t>
      </w:r>
      <w:r>
        <w:rPr>
          <w:b/>
          <w:bCs/>
          <w:i/>
          <w:iCs/>
          <w:sz w:val="20"/>
          <w:szCs w:val="20"/>
        </w:rPr>
        <w:t xml:space="preserve"> is determined using Alt. 1 or Alt. 2. </w:t>
      </w:r>
    </w:p>
    <w:p w14:paraId="3EC42E10" w14:textId="77777777" w:rsidR="00BF5F94" w:rsidRPr="00BF5F94" w:rsidRDefault="00BF5F94" w:rsidP="00BF5F94">
      <w:pPr>
        <w:pStyle w:val="ListParagraph"/>
        <w:numPr>
          <w:ilvl w:val="0"/>
          <w:numId w:val="80"/>
        </w:numPr>
        <w:jc w:val="both"/>
        <w:rPr>
          <w:b/>
          <w:bCs/>
          <w:i/>
          <w:iCs/>
          <w:sz w:val="20"/>
          <w:szCs w:val="20"/>
        </w:rPr>
      </w:pPr>
      <w:r w:rsidRPr="00BF5F94">
        <w:rPr>
          <w:b/>
          <w:bCs/>
          <w:i/>
          <w:iCs/>
          <w:sz w:val="20"/>
          <w:szCs w:val="20"/>
        </w:rPr>
        <w:t xml:space="preserve">Alt. 1: subcarrier 0 of the of the lowest-numbered RB of  </w:t>
      </w:r>
      <w:r w:rsidRPr="00BF5F94">
        <w:rPr>
          <w:rFonts w:eastAsia="Malgun Gothic"/>
          <w:b/>
          <w:bCs/>
          <w:i/>
          <w:iCs/>
          <w:sz w:val="20"/>
          <w:szCs w:val="20"/>
        </w:rPr>
        <w:t xml:space="preserve">assigned PRBs within UL usable PRBs only. </w:t>
      </w:r>
    </w:p>
    <w:p w14:paraId="0727FD39" w14:textId="77777777" w:rsidR="00BF5F94" w:rsidRPr="00BF5F94" w:rsidRDefault="00BF5F94" w:rsidP="00BF5F94">
      <w:pPr>
        <w:pStyle w:val="ListParagraph"/>
        <w:numPr>
          <w:ilvl w:val="0"/>
          <w:numId w:val="80"/>
        </w:numPr>
        <w:jc w:val="both"/>
        <w:rPr>
          <w:b/>
          <w:bCs/>
          <w:i/>
          <w:iCs/>
          <w:sz w:val="20"/>
          <w:szCs w:val="20"/>
        </w:rPr>
      </w:pPr>
      <w:r w:rsidRPr="00BF5F94">
        <w:rPr>
          <w:b/>
          <w:bCs/>
          <w:i/>
          <w:iCs/>
          <w:sz w:val="20"/>
          <w:szCs w:val="20"/>
        </w:rPr>
        <w:lastRenderedPageBreak/>
        <w:t xml:space="preserve">Alt. 2: subcarrier 0 of the of the lowest-numbered RB of  </w:t>
      </w:r>
      <w:r w:rsidRPr="00BF5F94">
        <w:rPr>
          <w:rFonts w:eastAsia="Malgun Gothic"/>
          <w:b/>
          <w:bCs/>
          <w:i/>
          <w:iCs/>
          <w:sz w:val="20"/>
          <w:szCs w:val="20"/>
        </w:rPr>
        <w:t>assigned PRBs (as in legacy).</w:t>
      </w:r>
    </w:p>
    <w:bookmarkEnd w:id="5"/>
    <w:p w14:paraId="56C40097" w14:textId="77777777" w:rsidR="001828E0" w:rsidRPr="00751EEE" w:rsidRDefault="001828E0" w:rsidP="0049215D">
      <w:pPr>
        <w:pStyle w:val="ListParagraph"/>
        <w:spacing w:before="120"/>
        <w:ind w:left="0"/>
        <w:jc w:val="both"/>
        <w:rPr>
          <w:sz w:val="20"/>
          <w:szCs w:val="20"/>
          <w:lang w:val="en-GB"/>
        </w:rPr>
      </w:pPr>
    </w:p>
    <w:p w14:paraId="09BC874E" w14:textId="6F4A2D99" w:rsidR="00F32BB3" w:rsidRPr="00394E4B" w:rsidRDefault="00F32BB3" w:rsidP="00394E4B">
      <w:pPr>
        <w:pStyle w:val="Caption"/>
        <w:rPr>
          <w:u w:val="single"/>
        </w:rPr>
      </w:pPr>
      <w:r w:rsidRPr="00394E4B">
        <w:rPr>
          <w:u w:val="single"/>
        </w:rPr>
        <w:t xml:space="preserve">Collision Handling in Half-Duplex CA </w:t>
      </w:r>
    </w:p>
    <w:tbl>
      <w:tblPr>
        <w:tblStyle w:val="TableGrid"/>
        <w:tblW w:w="0" w:type="auto"/>
        <w:tblInd w:w="108" w:type="dxa"/>
        <w:tblLook w:val="04A0" w:firstRow="1" w:lastRow="0" w:firstColumn="1" w:lastColumn="0" w:noHBand="0" w:noVBand="1"/>
      </w:tblPr>
      <w:tblGrid>
        <w:gridCol w:w="9639"/>
      </w:tblGrid>
      <w:tr w:rsidR="00E1474E" w14:paraId="7DE5B99C" w14:textId="77777777" w:rsidTr="00E1474E">
        <w:trPr>
          <w:trHeight w:val="35"/>
        </w:trPr>
        <w:tc>
          <w:tcPr>
            <w:tcW w:w="9639" w:type="dxa"/>
            <w:tcBorders>
              <w:top w:val="single" w:sz="4" w:space="0" w:color="auto"/>
              <w:left w:val="single" w:sz="4" w:space="0" w:color="auto"/>
              <w:bottom w:val="single" w:sz="4" w:space="0" w:color="auto"/>
              <w:right w:val="single" w:sz="4" w:space="0" w:color="auto"/>
            </w:tcBorders>
            <w:hideMark/>
          </w:tcPr>
          <w:p w14:paraId="0DCC4486" w14:textId="77777777" w:rsidR="00E1474E" w:rsidRDefault="00E1474E" w:rsidP="00E1474E">
            <w:pPr>
              <w:spacing w:after="0"/>
              <w:rPr>
                <w:rFonts w:eastAsiaTheme="minorEastAsia"/>
                <w:b/>
                <w:lang w:eastAsia="zh-CN"/>
              </w:rPr>
            </w:pPr>
            <w:r>
              <w:rPr>
                <w:rFonts w:eastAsiaTheme="minorEastAsia"/>
                <w:b/>
                <w:highlight w:val="green"/>
                <w:lang w:eastAsia="zh-CN"/>
              </w:rPr>
              <w:t>Agreement</w:t>
            </w:r>
          </w:p>
          <w:p w14:paraId="706D916F" w14:textId="77777777" w:rsidR="00E1474E" w:rsidRDefault="00E1474E" w:rsidP="00E1474E">
            <w:pPr>
              <w:spacing w:after="0"/>
              <w:rPr>
                <w:lang w:eastAsia="en-US"/>
              </w:rPr>
            </w:pPr>
            <w:bookmarkStart w:id="6" w:name="OLE_LINK95"/>
            <w:r>
              <w:t>Support SBFD operation on one TDD carrier in multi-carrier scenario</w:t>
            </w:r>
            <w:bookmarkEnd w:id="6"/>
            <w:r>
              <w:t xml:space="preserve">. </w:t>
            </w:r>
          </w:p>
          <w:p w14:paraId="3671377A" w14:textId="77777777" w:rsidR="00E1474E" w:rsidRDefault="00E1474E" w:rsidP="00E1474E">
            <w:pPr>
              <w:pStyle w:val="ListParagraph"/>
              <w:numPr>
                <w:ilvl w:val="0"/>
                <w:numId w:val="69"/>
              </w:numPr>
              <w:tabs>
                <w:tab w:val="left" w:pos="-360"/>
              </w:tabs>
              <w:contextualSpacing w:val="0"/>
              <w:rPr>
                <w:sz w:val="20"/>
                <w:szCs w:val="20"/>
              </w:rPr>
            </w:pPr>
            <w:r>
              <w:rPr>
                <w:sz w:val="20"/>
                <w:szCs w:val="20"/>
              </w:rPr>
              <w:t xml:space="preserve">Note: If the TDD carrier for SBFD operation is an Scell, support UE dedicated signaling for cell-specific configuration of time and frequency location of SBFD subbands for the Scell.  </w:t>
            </w:r>
          </w:p>
          <w:p w14:paraId="5610656A" w14:textId="78D8E777" w:rsidR="00E1474E" w:rsidRDefault="00E1474E" w:rsidP="00E1474E">
            <w:pPr>
              <w:spacing w:after="0"/>
            </w:pPr>
            <w:r>
              <w:t xml:space="preserve">FFS </w:t>
            </w:r>
            <w:bookmarkStart w:id="7" w:name="OLE_LINK96"/>
            <w:r>
              <w:t>whether/how to handle half-duplex CA case</w:t>
            </w:r>
            <w:bookmarkEnd w:id="7"/>
            <w:r w:rsidR="00C90E58">
              <w:t>.</w:t>
            </w:r>
          </w:p>
          <w:p w14:paraId="50DB0899" w14:textId="306A0961" w:rsidR="00E1474E" w:rsidRPr="00E1474E" w:rsidRDefault="00E1474E" w:rsidP="00A93BE5">
            <w:pPr>
              <w:spacing w:after="0"/>
              <w:rPr>
                <w:rFonts w:eastAsiaTheme="minorEastAsia"/>
                <w:lang w:eastAsia="zh-CN"/>
              </w:rPr>
            </w:pPr>
          </w:p>
        </w:tc>
      </w:tr>
    </w:tbl>
    <w:p w14:paraId="3CA3E8F5" w14:textId="28C1A68F" w:rsidR="00C90E58" w:rsidRDefault="00C90E58" w:rsidP="00C818BC">
      <w:pPr>
        <w:spacing w:before="120"/>
        <w:jc w:val="both"/>
      </w:pPr>
      <w:r>
        <w:t>In previous meetings, RAN1 agreed to s</w:t>
      </w:r>
      <w:r w:rsidRPr="00C90E58">
        <w:t>upport SBFD operation on one TDD carrier in multi-carrier scenario</w:t>
      </w:r>
      <w:r>
        <w:t xml:space="preserve">. A remaining issue is </w:t>
      </w:r>
      <w:r w:rsidRPr="00C90E58">
        <w:t>whether/how to handle half-duplex CA case</w:t>
      </w:r>
      <w:r>
        <w:t xml:space="preserve">. </w:t>
      </w:r>
      <w:r w:rsidR="007D0FB4">
        <w:t xml:space="preserve">For this case, the UE behaviour for collision handling needs to be determined. </w:t>
      </w:r>
      <w:r>
        <w:t xml:space="preserve">In our view, </w:t>
      </w:r>
      <w:bookmarkStart w:id="8" w:name="OLE_LINK74"/>
      <w:r>
        <w:t>reusing legacy behaviour by treating SBFD symbols as flexible is a simple and straightforward solution</w:t>
      </w:r>
      <w:bookmarkEnd w:id="8"/>
      <w:r>
        <w:t>,</w:t>
      </w:r>
      <w:r w:rsidR="007B4032">
        <w:t xml:space="preserve"> </w:t>
      </w:r>
      <w:bookmarkStart w:id="9" w:name="OLE_LINK75"/>
      <w:r w:rsidR="007B4032">
        <w:t>and should be adopted by RAN1</w:t>
      </w:r>
      <w:bookmarkEnd w:id="9"/>
      <w:r>
        <w:t>.</w:t>
      </w:r>
    </w:p>
    <w:p w14:paraId="5FE82F2F" w14:textId="294E10E0" w:rsidR="00036C05" w:rsidRPr="00036C05" w:rsidRDefault="00C90E58" w:rsidP="00036C05">
      <w:pPr>
        <w:pStyle w:val="ListParagraph"/>
        <w:numPr>
          <w:ilvl w:val="0"/>
          <w:numId w:val="78"/>
        </w:numPr>
        <w:jc w:val="both"/>
        <w:rPr>
          <w:b/>
          <w:bCs/>
          <w:i/>
          <w:iCs/>
          <w:sz w:val="20"/>
          <w:szCs w:val="20"/>
          <w:lang w:val="en-GB" w:eastAsia="ko-KR"/>
        </w:rPr>
      </w:pPr>
      <w:bookmarkStart w:id="10" w:name="OLE_LINK49"/>
      <w:r w:rsidRPr="00C90E58">
        <w:rPr>
          <w:b/>
          <w:bCs/>
          <w:i/>
          <w:iCs/>
          <w:sz w:val="20"/>
          <w:szCs w:val="20"/>
          <w:lang w:val="en-GB" w:eastAsia="ko-KR"/>
        </w:rPr>
        <w:t xml:space="preserve">For SBFD operation in half-duplex CA scenario, the existing directional collision handling for half-duplex TDD CA </w:t>
      </w:r>
      <w:proofErr w:type="spellStart"/>
      <w:r w:rsidRPr="00C90E58">
        <w:rPr>
          <w:b/>
          <w:bCs/>
          <w:i/>
          <w:iCs/>
          <w:sz w:val="20"/>
          <w:szCs w:val="20"/>
          <w:lang w:val="en-GB" w:eastAsia="ko-KR"/>
        </w:rPr>
        <w:t>is</w:t>
      </w:r>
      <w:proofErr w:type="spellEnd"/>
      <w:r w:rsidRPr="00C90E58">
        <w:rPr>
          <w:b/>
          <w:bCs/>
          <w:i/>
          <w:iCs/>
          <w:sz w:val="20"/>
          <w:szCs w:val="20"/>
          <w:lang w:val="en-GB" w:eastAsia="ko-KR"/>
        </w:rPr>
        <w:t xml:space="preserve"> reused by treating SBFD symbols as flexible symbols</w:t>
      </w:r>
      <w:bookmarkEnd w:id="10"/>
      <w:r>
        <w:rPr>
          <w:b/>
          <w:bCs/>
          <w:i/>
          <w:iCs/>
          <w:sz w:val="20"/>
          <w:szCs w:val="20"/>
          <w:lang w:val="en-GB" w:eastAsia="ko-KR"/>
        </w:rPr>
        <w:t xml:space="preserve">. </w:t>
      </w:r>
    </w:p>
    <w:p w14:paraId="2F3032F2" w14:textId="3D7CD184" w:rsidR="00036C05" w:rsidRDefault="00036C05" w:rsidP="00036C05">
      <w:pPr>
        <w:pStyle w:val="Heading2"/>
      </w:pPr>
      <w:r>
        <w:t xml:space="preserve">SBFD Random Access Operation </w:t>
      </w:r>
    </w:p>
    <w:p w14:paraId="2557329D" w14:textId="527A6CBA" w:rsidR="00A8154E" w:rsidRPr="00A8154E" w:rsidRDefault="00A8154E" w:rsidP="00A8154E">
      <w:pPr>
        <w:spacing w:before="120"/>
        <w:jc w:val="both"/>
        <w:rPr>
          <w:lang w:eastAsia="en-US"/>
        </w:rPr>
      </w:pPr>
      <w:r>
        <w:t xml:space="preserve">In this </w:t>
      </w:r>
      <w:r>
        <w:t>section</w:t>
      </w:r>
      <w:r>
        <w:t xml:space="preserve">, we provide our views on the remaining issues on random access operation in SBFD symbols.  </w:t>
      </w:r>
    </w:p>
    <w:p w14:paraId="3C1AEB3C" w14:textId="77777777" w:rsidR="00506DCE" w:rsidRDefault="00506DCE" w:rsidP="00C54E4D">
      <w:pPr>
        <w:spacing w:after="0"/>
        <w:jc w:val="both"/>
        <w:rPr>
          <w:b/>
          <w:bCs/>
          <w:u w:val="single"/>
          <w:lang w:eastAsia="en-US"/>
        </w:rPr>
      </w:pPr>
      <w:r>
        <w:rPr>
          <w:b/>
          <w:bCs/>
          <w:u w:val="single"/>
        </w:rPr>
        <w:t xml:space="preserve">Transition Timeline for Additional RO Across SBFD and Non-SBFD Symbols </w:t>
      </w:r>
    </w:p>
    <w:p w14:paraId="6FBF3C1A" w14:textId="77777777" w:rsidR="00506DCE" w:rsidRDefault="00506DCE" w:rsidP="00C54E4D">
      <w:pPr>
        <w:spacing w:after="0"/>
        <w:jc w:val="both"/>
        <w:rPr>
          <w:bCs/>
        </w:rPr>
      </w:pPr>
    </w:p>
    <w:tbl>
      <w:tblPr>
        <w:tblStyle w:val="TableGrid"/>
        <w:tblW w:w="9526" w:type="dxa"/>
        <w:tblInd w:w="108" w:type="dxa"/>
        <w:tblLook w:val="04A0" w:firstRow="1" w:lastRow="0" w:firstColumn="1" w:lastColumn="0" w:noHBand="0" w:noVBand="1"/>
      </w:tblPr>
      <w:tblGrid>
        <w:gridCol w:w="9526"/>
      </w:tblGrid>
      <w:tr w:rsidR="00506DCE" w14:paraId="78C2B5E9" w14:textId="77777777" w:rsidTr="00506DCE">
        <w:trPr>
          <w:trHeight w:val="132"/>
        </w:trPr>
        <w:tc>
          <w:tcPr>
            <w:tcW w:w="9526" w:type="dxa"/>
            <w:tcBorders>
              <w:top w:val="single" w:sz="4" w:space="0" w:color="auto"/>
              <w:left w:val="single" w:sz="4" w:space="0" w:color="auto"/>
              <w:bottom w:val="single" w:sz="4" w:space="0" w:color="auto"/>
              <w:right w:val="single" w:sz="4" w:space="0" w:color="auto"/>
            </w:tcBorders>
            <w:hideMark/>
          </w:tcPr>
          <w:p w14:paraId="1671B373" w14:textId="77777777" w:rsidR="00506DCE" w:rsidRDefault="00506DCE" w:rsidP="00C54E4D">
            <w:pPr>
              <w:spacing w:after="0"/>
              <w:rPr>
                <w:b/>
                <w:bCs/>
                <w:lang w:val="en-US"/>
              </w:rPr>
            </w:pPr>
            <w:r>
              <w:rPr>
                <w:b/>
                <w:bCs/>
                <w:highlight w:val="green"/>
                <w:lang w:val="en-US"/>
              </w:rPr>
              <w:t>Agreement</w:t>
            </w:r>
          </w:p>
          <w:p w14:paraId="22FDFBF3" w14:textId="77777777" w:rsidR="00506DCE" w:rsidRDefault="00506DCE" w:rsidP="00C54E4D">
            <w:pPr>
              <w:spacing w:after="0"/>
              <w:rPr>
                <w:color w:val="000000" w:themeColor="text1"/>
                <w:lang w:val="en-US"/>
              </w:rPr>
            </w:pPr>
            <w:r>
              <w:rPr>
                <w:color w:val="000000" w:themeColor="text1"/>
                <w:lang w:val="en-US"/>
              </w:rPr>
              <w:t xml:space="preserve">A RO across SBFD symbols and non-SBFD symbols in the same slot or across slots is invalid by default. </w:t>
            </w:r>
          </w:p>
          <w:p w14:paraId="04B76376" w14:textId="77777777" w:rsidR="00506DCE" w:rsidRDefault="00506DCE" w:rsidP="00C54E4D">
            <w:pPr>
              <w:spacing w:after="0"/>
              <w:rPr>
                <w:color w:val="000000" w:themeColor="text1"/>
                <w:lang w:val="en-US"/>
              </w:rPr>
            </w:pPr>
            <w:r>
              <w:rPr>
                <w:color w:val="000000" w:themeColor="text1"/>
                <w:lang w:val="en-US"/>
              </w:rPr>
              <w:t xml:space="preserve">A configured </w:t>
            </w:r>
            <w:bookmarkStart w:id="11" w:name="OLE_LINK58"/>
            <w:r>
              <w:rPr>
                <w:color w:val="000000" w:themeColor="text1"/>
                <w:lang w:val="en-US"/>
              </w:rPr>
              <w:t>RO starting from SBFD symbol and ending in</w:t>
            </w:r>
            <w:r>
              <w:rPr>
                <w:lang w:val="en-US"/>
              </w:rPr>
              <w:t xml:space="preserve"> non-SBFD symbol either in the same slot or across different slots can be valid based on network configuration. </w:t>
            </w:r>
            <w:bookmarkEnd w:id="11"/>
            <w:r>
              <w:rPr>
                <w:lang w:val="en-US"/>
              </w:rPr>
              <w:t>This</w:t>
            </w:r>
            <w:r>
              <w:rPr>
                <w:rFonts w:eastAsia="DengXian"/>
                <w:iCs/>
                <w:lang w:val="en-US"/>
              </w:rPr>
              <w:t xml:space="preserve"> is only supported for RACH configuration option 2 and only supported for the ROs configured by the additional RACH configuration. </w:t>
            </w:r>
            <w:r>
              <w:rPr>
                <w:color w:val="000000" w:themeColor="text1"/>
                <w:lang w:val="en-US"/>
              </w:rPr>
              <w:t>If network configures such RO as a valid RO, UE should treat the RO as an additional-RO in SBFD symbols, and the followings are assumed by network and UE:</w:t>
            </w:r>
          </w:p>
          <w:p w14:paraId="0A6F529A" w14:textId="77777777" w:rsidR="00506DCE" w:rsidRDefault="00506DCE" w:rsidP="00C54E4D">
            <w:pPr>
              <w:pStyle w:val="ListParagraph"/>
              <w:numPr>
                <w:ilvl w:val="0"/>
                <w:numId w:val="81"/>
              </w:numPr>
              <w:spacing w:line="254" w:lineRule="auto"/>
              <w:rPr>
                <w:color w:val="000000" w:themeColor="text1"/>
                <w:sz w:val="20"/>
                <w:szCs w:val="20"/>
                <w:lang w:val="en-US" w:eastAsia="en-US"/>
              </w:rPr>
            </w:pPr>
            <w:r>
              <w:rPr>
                <w:color w:val="000000" w:themeColor="text1"/>
                <w:sz w:val="20"/>
                <w:szCs w:val="20"/>
                <w:lang w:val="en-US" w:eastAsia="en-US"/>
              </w:rPr>
              <w:t>The same frequency resources are used for both the SBFD segment and non-SBFD segment of the PRACH.</w:t>
            </w:r>
          </w:p>
          <w:p w14:paraId="6BC0A247" w14:textId="77777777" w:rsidR="00506DCE" w:rsidRDefault="00506DCE" w:rsidP="00C54E4D">
            <w:pPr>
              <w:pStyle w:val="ListParagraph"/>
              <w:numPr>
                <w:ilvl w:val="0"/>
                <w:numId w:val="81"/>
              </w:numPr>
              <w:spacing w:line="254" w:lineRule="auto"/>
              <w:rPr>
                <w:color w:val="000000" w:themeColor="text1"/>
                <w:sz w:val="20"/>
                <w:szCs w:val="20"/>
                <w:lang w:val="en-US" w:eastAsia="en-US"/>
              </w:rPr>
            </w:pPr>
            <w:r>
              <w:rPr>
                <w:color w:val="000000" w:themeColor="text1"/>
                <w:sz w:val="20"/>
                <w:szCs w:val="20"/>
                <w:lang w:val="en-US" w:eastAsia="en-US"/>
              </w:rPr>
              <w:t>The same UL transmit power is used for both the SBFD segment and non-SBFD segment of the PRACH.</w:t>
            </w:r>
          </w:p>
          <w:p w14:paraId="581E70CF" w14:textId="77777777" w:rsidR="00506DCE" w:rsidRDefault="00506DCE" w:rsidP="00C54E4D">
            <w:pPr>
              <w:pStyle w:val="ListParagraph"/>
              <w:numPr>
                <w:ilvl w:val="0"/>
                <w:numId w:val="81"/>
              </w:numPr>
              <w:spacing w:line="254" w:lineRule="auto"/>
              <w:rPr>
                <w:color w:val="000000" w:themeColor="text1"/>
                <w:sz w:val="20"/>
                <w:szCs w:val="20"/>
                <w:lang w:val="en-US" w:eastAsia="en-US"/>
              </w:rPr>
            </w:pPr>
            <w:r>
              <w:rPr>
                <w:color w:val="000000" w:themeColor="text1"/>
                <w:sz w:val="20"/>
                <w:szCs w:val="20"/>
                <w:lang w:val="en-US" w:eastAsia="en-US"/>
              </w:rPr>
              <w:t>The same UL spatial domain filter is used for both the SBFD segment and non-SBFD segment of the PRACH.</w:t>
            </w:r>
          </w:p>
          <w:p w14:paraId="22DA8826" w14:textId="77777777" w:rsidR="00506DCE" w:rsidRDefault="00506DCE" w:rsidP="00C54E4D">
            <w:pPr>
              <w:pStyle w:val="ListParagraph"/>
              <w:numPr>
                <w:ilvl w:val="0"/>
                <w:numId w:val="81"/>
              </w:numPr>
              <w:spacing w:line="254" w:lineRule="auto"/>
              <w:rPr>
                <w:color w:val="000000" w:themeColor="text1"/>
                <w:sz w:val="20"/>
                <w:szCs w:val="20"/>
                <w:highlight w:val="yellow"/>
                <w:lang w:val="en-US" w:eastAsia="en-US"/>
              </w:rPr>
            </w:pPr>
            <w:bookmarkStart w:id="12" w:name="OLE_LINK59"/>
            <w:r>
              <w:rPr>
                <w:color w:val="000000" w:themeColor="text1"/>
                <w:sz w:val="20"/>
                <w:szCs w:val="20"/>
                <w:highlight w:val="yellow"/>
                <w:lang w:val="en-US" w:eastAsia="en-US"/>
              </w:rPr>
              <w:t>UE doesn’t stop PRACH transmission in the transition period/gap (if any) between SBFD and non-SBFD symbols</w:t>
            </w:r>
            <w:bookmarkEnd w:id="12"/>
          </w:p>
          <w:p w14:paraId="34A5D034" w14:textId="77777777" w:rsidR="00506DCE" w:rsidRDefault="00506DCE" w:rsidP="00C54E4D">
            <w:pPr>
              <w:pStyle w:val="ListParagraph"/>
              <w:numPr>
                <w:ilvl w:val="0"/>
                <w:numId w:val="81"/>
              </w:numPr>
              <w:spacing w:line="254" w:lineRule="auto"/>
              <w:rPr>
                <w:color w:val="000000" w:themeColor="text1"/>
                <w:sz w:val="20"/>
                <w:szCs w:val="20"/>
                <w:lang w:val="en-US" w:eastAsia="en-US"/>
              </w:rPr>
            </w:pPr>
            <w:r>
              <w:rPr>
                <w:color w:val="000000" w:themeColor="text1"/>
                <w:sz w:val="20"/>
                <w:szCs w:val="20"/>
                <w:lang w:val="en-US" w:eastAsia="en-US"/>
              </w:rPr>
              <w:t>There are no phase coherency requirements on the UE between the SBFD segment and non-SBFD segment of the PRACH.</w:t>
            </w:r>
          </w:p>
          <w:p w14:paraId="58312FC9" w14:textId="77777777" w:rsidR="00506DCE" w:rsidRDefault="00506DCE" w:rsidP="00C54E4D">
            <w:pPr>
              <w:pStyle w:val="ListParagraph"/>
              <w:numPr>
                <w:ilvl w:val="0"/>
                <w:numId w:val="81"/>
              </w:numPr>
              <w:spacing w:line="254" w:lineRule="auto"/>
              <w:rPr>
                <w:color w:val="000000" w:themeColor="text1"/>
                <w:sz w:val="20"/>
                <w:szCs w:val="20"/>
                <w:lang w:val="en-US" w:eastAsia="en-US"/>
              </w:rPr>
            </w:pPr>
            <w:r>
              <w:rPr>
                <w:color w:val="000000" w:themeColor="text1"/>
                <w:sz w:val="20"/>
                <w:szCs w:val="20"/>
                <w:lang w:val="en-US" w:eastAsia="en-US"/>
              </w:rPr>
              <w:t>Other assumptions are not precluded.</w:t>
            </w:r>
          </w:p>
          <w:p w14:paraId="72030423" w14:textId="77777777" w:rsidR="00506DCE" w:rsidRDefault="00506DCE" w:rsidP="00C54E4D">
            <w:pPr>
              <w:spacing w:after="0"/>
              <w:rPr>
                <w:color w:val="000000" w:themeColor="text1"/>
                <w:lang w:val="en-US" w:eastAsia="en-US"/>
              </w:rPr>
            </w:pPr>
            <w:r>
              <w:rPr>
                <w:color w:val="000000" w:themeColor="text1"/>
                <w:lang w:val="en-US"/>
              </w:rPr>
              <w:t>NOTE: For FR2, network may need to ensure that the additional-RO and the legacy RO, which overlap with each other in time domain, are mapped to the same SSB.</w:t>
            </w:r>
          </w:p>
        </w:tc>
      </w:tr>
    </w:tbl>
    <w:p w14:paraId="60C9ADF1" w14:textId="77777777" w:rsidR="00506DCE" w:rsidRDefault="00506DCE" w:rsidP="00506DCE">
      <w:pPr>
        <w:spacing w:after="0"/>
        <w:jc w:val="both"/>
        <w:rPr>
          <w:lang w:eastAsia="en-US"/>
        </w:rPr>
      </w:pPr>
    </w:p>
    <w:p w14:paraId="3422F1F5" w14:textId="77777777" w:rsidR="00506DCE" w:rsidRDefault="00506DCE" w:rsidP="00506DCE">
      <w:pPr>
        <w:spacing w:after="0"/>
        <w:jc w:val="both"/>
      </w:pPr>
      <w:r>
        <w:rPr>
          <w:bCs/>
        </w:rPr>
        <w:t xml:space="preserve">In RAN1#117, RAN1 agreed that </w:t>
      </w:r>
      <w:r>
        <w:rPr>
          <w:color w:val="000000" w:themeColor="text1"/>
        </w:rPr>
        <w:t>RO starting from SBFD symbol and ending in</w:t>
      </w:r>
      <w:r>
        <w:t xml:space="preserve"> non-SBFD symbol either in the same slot or across different slots can be valid based on network configuration.</w:t>
      </w:r>
      <w:r>
        <w:rPr>
          <w:bCs/>
        </w:rPr>
        <w:t xml:space="preserve"> For such ROs it was agreed that the UE doesn’t stop PRACH transmission in the transition period/gap (if any) between SBFD and non-SBFD symbols. </w:t>
      </w:r>
      <w:r>
        <w:t xml:space="preserve">However, for SBFD operation a UE may use different baseband/RF filtering and/or settings between SBFD and non-SBFD symbols.  Therefore, </w:t>
      </w:r>
      <w:bookmarkStart w:id="13" w:name="OLE_LINK65"/>
      <w:r>
        <w:t>for a RO across SBFD and non-SBFD symbols, UE may require some time to switch RF setting</w:t>
      </w:r>
      <w:bookmarkEnd w:id="13"/>
      <w:r>
        <w:t xml:space="preserve">, the UE does not stop the PRACH transmission in the transition period/gap between SBFD and non-SBFD symbols. Therefore, </w:t>
      </w:r>
      <w:bookmarkStart w:id="14" w:name="OLE_LINK66"/>
      <w:r>
        <w:t>RAN1 needs to determine how to accommodate such transition time when RO across SBFD and non-SBFD symbols is considered as valid</w:t>
      </w:r>
      <w:bookmarkEnd w:id="14"/>
      <w:r>
        <w:t>. Two possible alternatives can be considered.</w:t>
      </w:r>
    </w:p>
    <w:p w14:paraId="3BA92410" w14:textId="77777777" w:rsidR="00506DCE" w:rsidRDefault="00506DCE" w:rsidP="00506DCE">
      <w:pPr>
        <w:pStyle w:val="ListParagraph"/>
        <w:numPr>
          <w:ilvl w:val="0"/>
          <w:numId w:val="82"/>
        </w:numPr>
        <w:jc w:val="both"/>
        <w:rPr>
          <w:sz w:val="20"/>
          <w:szCs w:val="20"/>
        </w:rPr>
      </w:pPr>
      <w:bookmarkStart w:id="15" w:name="OLE_LINK2"/>
      <w:r>
        <w:rPr>
          <w:sz w:val="20"/>
          <w:szCs w:val="20"/>
        </w:rPr>
        <w:t xml:space="preserve">Alt. 1: UE switch RF settings from SBFD operation to non-SBFD operation before the start of the PRACH occasion </w:t>
      </w:r>
      <w:bookmarkStart w:id="16" w:name="OLE_LINK3"/>
      <w:r>
        <w:rPr>
          <w:sz w:val="20"/>
          <w:szCs w:val="20"/>
        </w:rPr>
        <w:t xml:space="preserve">(which occurs in the SBFD symbol). </w:t>
      </w:r>
      <w:bookmarkEnd w:id="16"/>
    </w:p>
    <w:p w14:paraId="45A1C865" w14:textId="7AEE4874" w:rsidR="00506DCE" w:rsidRDefault="00506DCE" w:rsidP="003206A4">
      <w:pPr>
        <w:pStyle w:val="ListParagraph"/>
        <w:numPr>
          <w:ilvl w:val="0"/>
          <w:numId w:val="82"/>
        </w:numPr>
        <w:jc w:val="both"/>
        <w:rPr>
          <w:sz w:val="20"/>
          <w:szCs w:val="20"/>
        </w:rPr>
      </w:pPr>
      <w:r>
        <w:rPr>
          <w:sz w:val="20"/>
          <w:szCs w:val="20"/>
        </w:rPr>
        <w:t xml:space="preserve">Alt. 2: UE switch RF settings from SBFD operation to non-SBFD operation after the end of the PRACH occasion, (which occurs in the non-SBFD symbol).  </w:t>
      </w:r>
      <w:bookmarkStart w:id="17" w:name="OLE_LINK48"/>
      <w:bookmarkStart w:id="18" w:name="OLE_LINK54"/>
      <w:bookmarkEnd w:id="15"/>
    </w:p>
    <w:p w14:paraId="68A7822B" w14:textId="77777777" w:rsidR="003206A4" w:rsidRPr="003206A4" w:rsidRDefault="003206A4" w:rsidP="003206A4">
      <w:pPr>
        <w:pStyle w:val="ListParagraph"/>
        <w:ind w:left="644"/>
        <w:jc w:val="both"/>
        <w:rPr>
          <w:rStyle w:val="Emphasis"/>
          <w:i w:val="0"/>
          <w:iCs w:val="0"/>
          <w:sz w:val="20"/>
          <w:szCs w:val="20"/>
        </w:rPr>
      </w:pPr>
    </w:p>
    <w:p w14:paraId="2BCB4150" w14:textId="34E5E356" w:rsidR="00036C05" w:rsidRPr="00506DCE" w:rsidRDefault="00506DCE" w:rsidP="00AC309F">
      <w:pPr>
        <w:pStyle w:val="ListParagraph"/>
        <w:numPr>
          <w:ilvl w:val="0"/>
          <w:numId w:val="78"/>
        </w:numPr>
        <w:jc w:val="both"/>
      </w:pPr>
      <w:r>
        <w:rPr>
          <w:rFonts w:cstheme="minorHAnsi"/>
          <w:b/>
          <w:bCs/>
          <w:i/>
          <w:iCs/>
          <w:sz w:val="20"/>
          <w:szCs w:val="20"/>
          <w:lang w:val="en-GB"/>
        </w:rPr>
        <w:t>RAN1 to determine how to handle the transition from SBFD to non-SBFD operation when ROs across SBFD and non-SBFD symbols are considered as valid</w:t>
      </w:r>
      <w:bookmarkEnd w:id="17"/>
      <w:r>
        <w:rPr>
          <w:rFonts w:cstheme="minorHAnsi"/>
          <w:b/>
          <w:bCs/>
          <w:i/>
          <w:iCs/>
          <w:sz w:val="20"/>
          <w:szCs w:val="20"/>
          <w:lang w:val="en-GB"/>
        </w:rPr>
        <w:t xml:space="preserve">. </w:t>
      </w:r>
      <w:bookmarkEnd w:id="18"/>
    </w:p>
    <w:p w14:paraId="134739B2" w14:textId="77777777" w:rsidR="00036C05" w:rsidRDefault="00036C05" w:rsidP="00036C05">
      <w:pPr>
        <w:rPr>
          <w:lang w:eastAsia="en-US"/>
        </w:rPr>
      </w:pPr>
    </w:p>
    <w:p w14:paraId="48FEC233" w14:textId="77777777" w:rsidR="00036C05" w:rsidRDefault="00036C05" w:rsidP="00036C05">
      <w:pPr>
        <w:rPr>
          <w:lang w:eastAsia="en-US"/>
        </w:rPr>
      </w:pPr>
    </w:p>
    <w:p w14:paraId="217AF486" w14:textId="7A6BB52C" w:rsidR="00036C05" w:rsidRDefault="00036C05" w:rsidP="00036C05">
      <w:pPr>
        <w:pStyle w:val="Heading2"/>
      </w:pPr>
      <w:r>
        <w:lastRenderedPageBreak/>
        <w:t xml:space="preserve">CLI Handling  </w:t>
      </w:r>
    </w:p>
    <w:p w14:paraId="6552365B" w14:textId="10230481" w:rsidR="00E34358" w:rsidRDefault="00E34358" w:rsidP="00E34358">
      <w:pPr>
        <w:spacing w:before="120" w:after="120"/>
        <w:jc w:val="both"/>
        <w:rPr>
          <w:lang w:eastAsia="en-US"/>
        </w:rPr>
      </w:pPr>
      <w:bookmarkStart w:id="19" w:name="_Hlk510705081"/>
      <w:r>
        <w:t xml:space="preserve">In this </w:t>
      </w:r>
      <w:r>
        <w:t>section</w:t>
      </w:r>
      <w:r>
        <w:t xml:space="preserve">, we provide our views on the remaining issues on L1 based UE-to-UE CLI measurement and reporting framework. </w:t>
      </w:r>
      <w:bookmarkEnd w:id="19"/>
    </w:p>
    <w:p w14:paraId="02035100" w14:textId="46C14E55" w:rsidR="00D82CB2" w:rsidRPr="00F70B84" w:rsidRDefault="00E34358" w:rsidP="00F70B84">
      <w:pPr>
        <w:rPr>
          <w:b/>
          <w:bCs/>
          <w:u w:val="single"/>
          <w:lang w:eastAsia="en-US"/>
        </w:rPr>
      </w:pPr>
      <w:r w:rsidRPr="00E34358">
        <w:rPr>
          <w:b/>
          <w:bCs/>
          <w:u w:val="single"/>
          <w:lang w:eastAsia="en-US"/>
        </w:rPr>
        <w:t>L1 based UE-to-UE CLI Measurement and Reporting</w:t>
      </w:r>
    </w:p>
    <w:tbl>
      <w:tblPr>
        <w:tblStyle w:val="TableGrid"/>
        <w:tblW w:w="0" w:type="auto"/>
        <w:tblInd w:w="108" w:type="dxa"/>
        <w:tblLook w:val="04A0" w:firstRow="1" w:lastRow="0" w:firstColumn="1" w:lastColumn="0" w:noHBand="0" w:noVBand="1"/>
      </w:tblPr>
      <w:tblGrid>
        <w:gridCol w:w="9639"/>
      </w:tblGrid>
      <w:tr w:rsidR="00D82CB2" w14:paraId="6828C112" w14:textId="77777777" w:rsidTr="00D82CB2">
        <w:tc>
          <w:tcPr>
            <w:tcW w:w="9639" w:type="dxa"/>
            <w:tcBorders>
              <w:top w:val="single" w:sz="4" w:space="0" w:color="auto"/>
              <w:left w:val="single" w:sz="4" w:space="0" w:color="auto"/>
              <w:bottom w:val="single" w:sz="4" w:space="0" w:color="auto"/>
              <w:right w:val="single" w:sz="4" w:space="0" w:color="auto"/>
            </w:tcBorders>
          </w:tcPr>
          <w:p w14:paraId="54472A4A" w14:textId="77777777" w:rsidR="00D82CB2" w:rsidRDefault="00D82CB2">
            <w:pPr>
              <w:overflowPunct/>
              <w:autoSpaceDE/>
              <w:adjustRightInd/>
              <w:spacing w:after="0"/>
              <w:rPr>
                <w:rFonts w:eastAsia="Batang"/>
                <w:b/>
                <w:bCs/>
                <w:lang w:val="en-US"/>
              </w:rPr>
            </w:pPr>
            <w:bookmarkStart w:id="20" w:name="OLE_LINK39"/>
            <w:r>
              <w:rPr>
                <w:rFonts w:eastAsia="Batang"/>
                <w:b/>
                <w:bCs/>
                <w:highlight w:val="green"/>
                <w:lang w:val="en-US"/>
              </w:rPr>
              <w:t>Agreement</w:t>
            </w:r>
            <w:r>
              <w:rPr>
                <w:rFonts w:eastAsia="Batang"/>
                <w:b/>
                <w:bCs/>
                <w:lang w:val="en-US"/>
              </w:rPr>
              <w:t xml:space="preserve"> </w:t>
            </w:r>
          </w:p>
          <w:p w14:paraId="492E490D" w14:textId="77777777" w:rsidR="00D82CB2" w:rsidRDefault="00D82CB2">
            <w:pPr>
              <w:spacing w:after="0"/>
              <w:jc w:val="both"/>
              <w:rPr>
                <w:rStyle w:val="CommentReference"/>
                <w:rFonts w:eastAsia="Malgun Gothic"/>
                <w:lang w:eastAsia="ko-KR"/>
              </w:rPr>
            </w:pPr>
            <w:r>
              <w:rPr>
                <w:lang w:val="en-US"/>
              </w:rPr>
              <w:t xml:space="preserve">For frequency resource allocation of a </w:t>
            </w:r>
            <w:r>
              <w:rPr>
                <w:rStyle w:val="CommentReference"/>
                <w:rFonts w:eastAsia="Malgun Gothic"/>
                <w:bCs/>
                <w:lang w:val="en-US" w:eastAsia="ko-KR"/>
              </w:rPr>
              <w:t>CLI-RSSI measurement resource, the following are supported:</w:t>
            </w:r>
          </w:p>
          <w:p w14:paraId="0FB56559" w14:textId="77777777" w:rsidR="00D82CB2" w:rsidRDefault="00D82CB2" w:rsidP="00D82CB2">
            <w:pPr>
              <w:pStyle w:val="ListParagraph"/>
              <w:widowControl w:val="0"/>
              <w:numPr>
                <w:ilvl w:val="0"/>
                <w:numId w:val="81"/>
              </w:numPr>
              <w:suppressAutoHyphens/>
              <w:adjustRightInd w:val="0"/>
              <w:snapToGrid w:val="0"/>
              <w:jc w:val="both"/>
              <w:rPr>
                <w:rStyle w:val="CommentReference"/>
                <w:rFonts w:eastAsia="Malgun Gothic"/>
                <w:bCs/>
                <w:sz w:val="20"/>
                <w:szCs w:val="20"/>
                <w:lang w:eastAsia="ko-KR"/>
              </w:rPr>
            </w:pPr>
            <w:r>
              <w:rPr>
                <w:rStyle w:val="CommentReference"/>
                <w:rFonts w:eastAsia="Malgun Gothic"/>
                <w:bCs/>
                <w:sz w:val="20"/>
                <w:szCs w:val="20"/>
                <w:lang w:eastAsia="ko-KR"/>
              </w:rPr>
              <w:t>Measurement resource type#1: The CLI-RSSI measurement resource is configured within a DL subband or a UL subband.</w:t>
            </w:r>
          </w:p>
          <w:p w14:paraId="3CFDB0D8" w14:textId="77777777" w:rsidR="00D82CB2" w:rsidRDefault="00D82CB2" w:rsidP="00D82CB2">
            <w:pPr>
              <w:pStyle w:val="ListParagraph"/>
              <w:widowControl w:val="0"/>
              <w:numPr>
                <w:ilvl w:val="0"/>
                <w:numId w:val="81"/>
              </w:numPr>
              <w:suppressAutoHyphens/>
              <w:adjustRightInd w:val="0"/>
              <w:snapToGrid w:val="0"/>
              <w:jc w:val="both"/>
              <w:rPr>
                <w:rStyle w:val="CommentReference"/>
                <w:rFonts w:eastAsia="Malgun Gothic"/>
                <w:bCs/>
                <w:sz w:val="20"/>
                <w:szCs w:val="20"/>
                <w:lang w:eastAsia="ko-KR"/>
              </w:rPr>
            </w:pPr>
            <w:r>
              <w:rPr>
                <w:rStyle w:val="CommentReference"/>
                <w:rFonts w:eastAsia="Malgun Gothic"/>
                <w:bCs/>
                <w:sz w:val="20"/>
                <w:szCs w:val="20"/>
                <w:lang w:eastAsia="ko-KR"/>
              </w:rPr>
              <w:t>Measurement resource type#2: The CLI-RSSI measurement resource is configured across two DL subbands.</w:t>
            </w:r>
          </w:p>
          <w:p w14:paraId="6B761A12" w14:textId="77777777" w:rsidR="00D82CB2" w:rsidRDefault="00D82CB2" w:rsidP="00D82CB2">
            <w:pPr>
              <w:pStyle w:val="ListParagraph"/>
              <w:widowControl w:val="0"/>
              <w:numPr>
                <w:ilvl w:val="0"/>
                <w:numId w:val="81"/>
              </w:numPr>
              <w:suppressAutoHyphens/>
              <w:adjustRightInd w:val="0"/>
              <w:snapToGrid w:val="0"/>
              <w:jc w:val="both"/>
              <w:rPr>
                <w:lang w:eastAsia="en-US"/>
              </w:rPr>
            </w:pPr>
            <w:r>
              <w:rPr>
                <w:sz w:val="20"/>
                <w:szCs w:val="20"/>
                <w:lang w:eastAsia="en-US"/>
              </w:rPr>
              <w:t>FFS: Number of resources that can be configured</w:t>
            </w:r>
          </w:p>
          <w:p w14:paraId="2CD308F2" w14:textId="77777777" w:rsidR="00D82CB2" w:rsidRDefault="00D82CB2" w:rsidP="00D82CB2">
            <w:pPr>
              <w:pStyle w:val="ListParagraph"/>
              <w:widowControl w:val="0"/>
              <w:numPr>
                <w:ilvl w:val="0"/>
                <w:numId w:val="81"/>
              </w:numPr>
              <w:suppressAutoHyphens/>
              <w:adjustRightInd w:val="0"/>
              <w:snapToGrid w:val="0"/>
              <w:jc w:val="both"/>
              <w:rPr>
                <w:sz w:val="20"/>
                <w:szCs w:val="20"/>
                <w:lang w:eastAsia="en-US"/>
              </w:rPr>
            </w:pPr>
            <w:r>
              <w:rPr>
                <w:sz w:val="20"/>
                <w:szCs w:val="20"/>
                <w:lang w:eastAsia="en-US"/>
              </w:rPr>
              <w:t>FFS: UE behavior for measurement</w:t>
            </w:r>
          </w:p>
          <w:p w14:paraId="370AEEAD" w14:textId="77777777" w:rsidR="00D82CB2" w:rsidRDefault="00D82CB2">
            <w:pPr>
              <w:pStyle w:val="ListParagraph"/>
              <w:widowControl w:val="0"/>
              <w:suppressAutoHyphens/>
              <w:adjustRightInd w:val="0"/>
              <w:snapToGrid w:val="0"/>
              <w:jc w:val="both"/>
              <w:rPr>
                <w:sz w:val="20"/>
                <w:szCs w:val="20"/>
                <w:lang w:eastAsia="en-US"/>
              </w:rPr>
            </w:pPr>
          </w:p>
          <w:p w14:paraId="3973369E" w14:textId="77777777" w:rsidR="00D82CB2" w:rsidRDefault="00D82CB2">
            <w:pPr>
              <w:spacing w:after="0"/>
              <w:rPr>
                <w:b/>
                <w:bCs/>
                <w:lang w:val="en-US" w:eastAsia="en-US"/>
              </w:rPr>
            </w:pPr>
            <w:r>
              <w:rPr>
                <w:b/>
                <w:bCs/>
                <w:highlight w:val="green"/>
                <w:lang w:val="en-US"/>
              </w:rPr>
              <w:t>Agreement</w:t>
            </w:r>
          </w:p>
          <w:p w14:paraId="14032816" w14:textId="77777777" w:rsidR="00D82CB2" w:rsidRDefault="00D82CB2">
            <w:pPr>
              <w:suppressAutoHyphens/>
              <w:spacing w:after="0"/>
              <w:rPr>
                <w:iCs/>
                <w:color w:val="000000" w:themeColor="text1"/>
                <w:lang w:val="en-US"/>
              </w:rPr>
            </w:pPr>
            <w:r>
              <w:rPr>
                <w:iCs/>
                <w:color w:val="000000" w:themeColor="text1"/>
                <w:lang w:val="en-US"/>
              </w:rPr>
              <w:t xml:space="preserve">For Method#1 (RSSI measurement within DL subband), the frequency resources of </w:t>
            </w:r>
            <w:bookmarkStart w:id="21" w:name="OLE_LINK26"/>
            <w:r>
              <w:rPr>
                <w:iCs/>
                <w:color w:val="000000" w:themeColor="text1"/>
                <w:lang w:val="en-US"/>
              </w:rPr>
              <w:t xml:space="preserve">CLI-RSSI measurement resource type#2 </w:t>
            </w:r>
            <w:bookmarkEnd w:id="21"/>
            <w:r>
              <w:rPr>
                <w:iCs/>
                <w:color w:val="000000" w:themeColor="text1"/>
                <w:lang w:val="en-US"/>
              </w:rPr>
              <w:t>(</w:t>
            </w:r>
            <w:r>
              <w:rPr>
                <w:rFonts w:eastAsia="Malgun Gothic"/>
                <w:bCs/>
                <w:lang w:val="en-US" w:eastAsia="ko-KR"/>
              </w:rPr>
              <w:t>One CLI-RSSI measurement resource across two DL subbands</w:t>
            </w:r>
            <w:r>
              <w:rPr>
                <w:iCs/>
                <w:color w:val="000000" w:themeColor="text1"/>
                <w:lang w:val="en-US"/>
              </w:rPr>
              <w:t xml:space="preserve">) </w:t>
            </w:r>
            <w:proofErr w:type="gramStart"/>
            <w:r>
              <w:rPr>
                <w:iCs/>
                <w:color w:val="000000" w:themeColor="text1"/>
                <w:lang w:val="en-US"/>
              </w:rPr>
              <w:t>is</w:t>
            </w:r>
            <w:proofErr w:type="gramEnd"/>
            <w:r>
              <w:rPr>
                <w:iCs/>
                <w:color w:val="000000" w:themeColor="text1"/>
                <w:lang w:val="en-US"/>
              </w:rPr>
              <w:t xml:space="preserve"> derived by excluding the frequency resources outside DL usable PRBs.</w:t>
            </w:r>
          </w:p>
          <w:p w14:paraId="5825A1EB" w14:textId="77777777" w:rsidR="00D82CB2" w:rsidRDefault="00D82CB2" w:rsidP="00D82CB2">
            <w:pPr>
              <w:pStyle w:val="ListParagraph"/>
              <w:numPr>
                <w:ilvl w:val="0"/>
                <w:numId w:val="81"/>
              </w:numPr>
              <w:overflowPunct w:val="0"/>
              <w:autoSpaceDN w:val="0"/>
              <w:rPr>
                <w:iCs/>
                <w:sz w:val="20"/>
                <w:szCs w:val="20"/>
                <w:lang w:eastAsia="en-US"/>
              </w:rPr>
            </w:pPr>
            <w:bookmarkStart w:id="22" w:name="OLE_LINK9"/>
            <w:r>
              <w:rPr>
                <w:sz w:val="20"/>
                <w:szCs w:val="20"/>
                <w:lang w:eastAsia="en-US"/>
              </w:rPr>
              <w:t>A single wideband RSSI measurement report is supported.</w:t>
            </w:r>
            <w:bookmarkEnd w:id="22"/>
          </w:p>
          <w:p w14:paraId="36C18A9D" w14:textId="77777777" w:rsidR="00D82CB2" w:rsidRDefault="00D82CB2" w:rsidP="00D82CB2">
            <w:pPr>
              <w:pStyle w:val="ListParagraph"/>
              <w:numPr>
                <w:ilvl w:val="1"/>
                <w:numId w:val="81"/>
              </w:numPr>
              <w:overflowPunct w:val="0"/>
              <w:autoSpaceDN w:val="0"/>
              <w:rPr>
                <w:iCs/>
                <w:lang w:eastAsia="en-US"/>
              </w:rPr>
            </w:pPr>
            <w:bookmarkStart w:id="23" w:name="OLE_LINK10"/>
            <w:r>
              <w:rPr>
                <w:sz w:val="20"/>
                <w:szCs w:val="20"/>
                <w:lang w:eastAsia="en-US"/>
              </w:rPr>
              <w:t xml:space="preserve">FFS: two </w:t>
            </w:r>
            <w:bookmarkStart w:id="24" w:name="OLE_LINK25"/>
            <w:r>
              <w:rPr>
                <w:sz w:val="20"/>
                <w:szCs w:val="20"/>
                <w:lang w:eastAsia="en-US"/>
              </w:rPr>
              <w:t>per-DL-subband CLI-RSSI measurements reports with wideband report in each DL-subband</w:t>
            </w:r>
            <w:bookmarkEnd w:id="24"/>
            <w:r>
              <w:rPr>
                <w:sz w:val="20"/>
                <w:szCs w:val="20"/>
                <w:lang w:eastAsia="en-US"/>
              </w:rPr>
              <w:t>.</w:t>
            </w:r>
            <w:bookmarkEnd w:id="23"/>
          </w:p>
          <w:p w14:paraId="39EF857F" w14:textId="77777777" w:rsidR="00D82CB2" w:rsidRDefault="00D82CB2">
            <w:pPr>
              <w:pStyle w:val="ListParagraph"/>
              <w:overflowPunct w:val="0"/>
              <w:autoSpaceDN w:val="0"/>
              <w:ind w:left="1440"/>
              <w:rPr>
                <w:iCs/>
                <w:lang w:eastAsia="en-US"/>
              </w:rPr>
            </w:pPr>
          </w:p>
          <w:p w14:paraId="34E13885" w14:textId="77777777" w:rsidR="00D82CB2" w:rsidRDefault="00D82CB2">
            <w:pPr>
              <w:spacing w:after="0"/>
              <w:jc w:val="both"/>
              <w:rPr>
                <w:b/>
                <w:bCs/>
                <w:lang w:val="en-US" w:eastAsia="en-US"/>
              </w:rPr>
            </w:pPr>
            <w:r>
              <w:rPr>
                <w:b/>
                <w:bCs/>
                <w:lang w:val="en-US"/>
              </w:rPr>
              <w:t>Conclusion</w:t>
            </w:r>
          </w:p>
          <w:p w14:paraId="3F4228EC" w14:textId="77777777" w:rsidR="00D82CB2" w:rsidRDefault="00D82CB2">
            <w:pPr>
              <w:spacing w:after="0"/>
              <w:jc w:val="both"/>
              <w:rPr>
                <w:lang w:val="en-US"/>
              </w:rPr>
            </w:pPr>
            <w:r>
              <w:rPr>
                <w:lang w:val="en-US"/>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tc>
      </w:tr>
      <w:bookmarkEnd w:id="20"/>
    </w:tbl>
    <w:p w14:paraId="7E83B97C" w14:textId="77777777" w:rsidR="00D82CB2" w:rsidRPr="004D7660" w:rsidRDefault="00D82CB2" w:rsidP="00D82CB2">
      <w:pPr>
        <w:spacing w:after="0"/>
        <w:rPr>
          <w:lang w:eastAsia="en-US"/>
        </w:rPr>
      </w:pPr>
    </w:p>
    <w:p w14:paraId="1E6FC41C" w14:textId="77777777" w:rsidR="00D82CB2" w:rsidRPr="004D7660" w:rsidRDefault="00D82CB2" w:rsidP="00D82CB2">
      <w:pPr>
        <w:spacing w:after="0"/>
        <w:jc w:val="both"/>
        <w:rPr>
          <w:rStyle w:val="CommentReference"/>
          <w:rFonts w:eastAsia="Malgun Gothic"/>
          <w:bCs/>
          <w:sz w:val="20"/>
          <w:lang w:eastAsia="ko-KR"/>
        </w:rPr>
      </w:pPr>
      <w:r w:rsidRPr="004D7660">
        <w:rPr>
          <w:rStyle w:val="CommentReference"/>
          <w:rFonts w:eastAsia="Malgun Gothic"/>
          <w:bCs/>
          <w:sz w:val="20"/>
          <w:lang w:eastAsia="ko-KR"/>
        </w:rPr>
        <w:t xml:space="preserve">It still needs to be determined how many CLI-RSSI resources can be configured L1 based UE-to-UE CLI measurement. </w:t>
      </w:r>
    </w:p>
    <w:p w14:paraId="40C3159A" w14:textId="77777777" w:rsidR="00D82CB2" w:rsidRPr="004D7660" w:rsidRDefault="00D82CB2" w:rsidP="00D82CB2">
      <w:pPr>
        <w:spacing w:after="0"/>
        <w:jc w:val="both"/>
        <w:rPr>
          <w:rStyle w:val="CommentReference"/>
          <w:rFonts w:eastAsia="Malgun Gothic"/>
          <w:bCs/>
          <w:sz w:val="20"/>
          <w:lang w:eastAsia="ko-KR"/>
        </w:rPr>
      </w:pPr>
    </w:p>
    <w:p w14:paraId="17208DF7" w14:textId="77777777" w:rsidR="00D82CB2" w:rsidRPr="004D7660" w:rsidRDefault="00D82CB2" w:rsidP="00D82CB2">
      <w:pPr>
        <w:spacing w:after="0"/>
        <w:jc w:val="both"/>
        <w:rPr>
          <w:rStyle w:val="CommentReference"/>
          <w:rFonts w:eastAsia="Malgun Gothic"/>
          <w:bCs/>
          <w:sz w:val="20"/>
          <w:lang w:eastAsia="ko-KR"/>
        </w:rPr>
      </w:pPr>
      <w:r w:rsidRPr="004D7660">
        <w:rPr>
          <w:rStyle w:val="CommentReference"/>
          <w:rFonts w:eastAsia="Malgun Gothic"/>
          <w:bCs/>
          <w:sz w:val="20"/>
          <w:lang w:eastAsia="ko-KR"/>
        </w:rPr>
        <w:t>In terms of the maximum number of resources to be configured for L1 SRS-RSRP measurement, the same total number of resources as in legacy (i.e., 32 resources) can be considered.</w:t>
      </w:r>
    </w:p>
    <w:p w14:paraId="56F2E81D" w14:textId="77777777" w:rsidR="00D82CB2" w:rsidRPr="004D7660" w:rsidRDefault="00D82CB2" w:rsidP="00D82CB2">
      <w:pPr>
        <w:spacing w:after="0"/>
        <w:jc w:val="both"/>
        <w:rPr>
          <w:rStyle w:val="CommentReference"/>
          <w:rFonts w:eastAsia="Malgun Gothic"/>
          <w:bCs/>
          <w:sz w:val="20"/>
          <w:lang w:eastAsia="ko-KR"/>
        </w:rPr>
      </w:pPr>
    </w:p>
    <w:p w14:paraId="3FBF80E5" w14:textId="77777777" w:rsidR="00D82CB2" w:rsidRPr="004D7660" w:rsidRDefault="00D82CB2" w:rsidP="00D82CB2">
      <w:pPr>
        <w:spacing w:after="0"/>
        <w:jc w:val="both"/>
        <w:rPr>
          <w:rStyle w:val="CommentReference"/>
          <w:rFonts w:eastAsia="Malgun Gothic"/>
          <w:bCs/>
          <w:sz w:val="20"/>
          <w:lang w:eastAsia="ko-KR"/>
        </w:rPr>
      </w:pPr>
      <w:r w:rsidRPr="004D7660">
        <w:rPr>
          <w:rStyle w:val="CommentReference"/>
          <w:rFonts w:eastAsia="Malgun Gothic"/>
          <w:bCs/>
          <w:sz w:val="20"/>
          <w:lang w:eastAsia="ko-KR"/>
        </w:rPr>
        <w:t>In terms of the maximum number of resources to be configured for L1 CLI-RSSI measurement, the same total number of resources as in legacy (i.e., 64 resources) can be considered.</w:t>
      </w:r>
    </w:p>
    <w:p w14:paraId="30C09B4C" w14:textId="77777777" w:rsidR="00D82CB2" w:rsidRDefault="00D82CB2" w:rsidP="00D82CB2">
      <w:pPr>
        <w:spacing w:after="0"/>
        <w:jc w:val="both"/>
        <w:rPr>
          <w:rStyle w:val="CommentReference"/>
          <w:rFonts w:eastAsia="Malgun Gothic"/>
          <w:bCs/>
          <w:lang w:eastAsia="ko-KR"/>
        </w:rPr>
      </w:pPr>
    </w:p>
    <w:p w14:paraId="68127EBC" w14:textId="77777777" w:rsidR="00D82CB2" w:rsidRPr="00B701B5" w:rsidRDefault="00D82CB2" w:rsidP="00D82CB2">
      <w:pPr>
        <w:spacing w:after="0"/>
        <w:jc w:val="both"/>
        <w:rPr>
          <w:rStyle w:val="CommentReference"/>
          <w:rFonts w:eastAsia="Malgun Gothic"/>
          <w:bCs/>
          <w:sz w:val="20"/>
          <w:lang w:eastAsia="ko-KR"/>
        </w:rPr>
      </w:pPr>
      <w:r w:rsidRPr="00B701B5">
        <w:rPr>
          <w:rStyle w:val="CommentReference"/>
          <w:rFonts w:eastAsia="Malgun Gothic"/>
          <w:bCs/>
          <w:sz w:val="20"/>
          <w:lang w:eastAsia="ko-KR"/>
        </w:rPr>
        <w:t>When the CLI-RSSI resource is within one DL subband in DUD scenario, the following three cases may be inferred.</w:t>
      </w:r>
    </w:p>
    <w:p w14:paraId="2894E11E" w14:textId="6BF65B71" w:rsidR="00D82CB2" w:rsidRDefault="00D82CB2" w:rsidP="00D82CB2">
      <w:pPr>
        <w:pStyle w:val="ListParagraph"/>
        <w:numPr>
          <w:ilvl w:val="0"/>
          <w:numId w:val="84"/>
        </w:numPr>
        <w:jc w:val="both"/>
        <w:rPr>
          <w:rStyle w:val="CommentReference"/>
          <w:rFonts w:eastAsia="Malgun Gothic"/>
          <w:bCs/>
          <w:sz w:val="20"/>
          <w:lang w:eastAsia="ko-KR"/>
        </w:rPr>
      </w:pPr>
      <w:r>
        <w:rPr>
          <w:rStyle w:val="CommentReference"/>
          <w:rFonts w:eastAsia="Malgun Gothic"/>
          <w:b/>
          <w:sz w:val="20"/>
          <w:u w:val="single"/>
          <w:lang w:eastAsia="ko-KR"/>
        </w:rPr>
        <w:t>Case 1</w:t>
      </w:r>
      <w:r>
        <w:rPr>
          <w:rStyle w:val="CommentReference"/>
          <w:rFonts w:eastAsia="Malgun Gothic"/>
          <w:bCs/>
          <w:sz w:val="20"/>
          <w:lang w:eastAsia="ko-KR"/>
        </w:rPr>
        <w:t xml:space="preserve">: </w:t>
      </w:r>
      <w:bookmarkStart w:id="25" w:name="OLE_LINK118"/>
      <w:r>
        <w:rPr>
          <w:rStyle w:val="CommentReference"/>
          <w:rFonts w:eastAsia="Malgun Gothic"/>
          <w:bCs/>
          <w:sz w:val="20"/>
          <w:lang w:eastAsia="ko-KR"/>
        </w:rPr>
        <w:t xml:space="preserve">CLI-RSSI </w:t>
      </w:r>
      <w:bookmarkEnd w:id="25"/>
      <w:r>
        <w:rPr>
          <w:rStyle w:val="CommentReference"/>
          <w:rFonts w:eastAsia="Malgun Gothic"/>
          <w:bCs/>
          <w:sz w:val="20"/>
          <w:lang w:eastAsia="ko-KR"/>
        </w:rPr>
        <w:t>resources are always confined within one DL-SB only (either upper or lower DL-SB) (</w:t>
      </w:r>
      <w:r>
        <w:rPr>
          <w:rStyle w:val="CommentReference"/>
          <w:rFonts w:eastAsia="Malgun Gothic"/>
          <w:bCs/>
          <w:szCs w:val="20"/>
          <w:lang w:eastAsia="ko-KR"/>
        </w:rPr>
        <w:fldChar w:fldCharType="begin"/>
      </w:r>
      <w:r>
        <w:rPr>
          <w:rStyle w:val="CommentReference"/>
          <w:rFonts w:eastAsia="Malgun Gothic"/>
          <w:bCs/>
          <w:szCs w:val="20"/>
          <w:lang w:eastAsia="ko-KR"/>
        </w:rPr>
        <w:instrText xml:space="preserve"> REF _Ref178845588 \h  \* MERGEFORMAT </w:instrText>
      </w:r>
      <w:r>
        <w:rPr>
          <w:rStyle w:val="CommentReference"/>
          <w:rFonts w:eastAsia="Malgun Gothic"/>
          <w:bCs/>
          <w:szCs w:val="20"/>
          <w:lang w:eastAsia="ko-KR"/>
        </w:rPr>
      </w:r>
      <w:r>
        <w:rPr>
          <w:rStyle w:val="CommentReference"/>
          <w:rFonts w:eastAsia="Malgun Gothic"/>
          <w:bCs/>
          <w:szCs w:val="20"/>
          <w:lang w:eastAsia="ko-KR"/>
        </w:rPr>
        <w:fldChar w:fldCharType="separate"/>
      </w:r>
      <w:r w:rsidR="00331C9F" w:rsidRPr="00331C9F">
        <w:rPr>
          <w:sz w:val="20"/>
          <w:szCs w:val="20"/>
          <w:bdr w:val="none" w:sz="0" w:space="0" w:color="auto" w:frame="1"/>
        </w:rPr>
        <w:t xml:space="preserve">Figure </w:t>
      </w:r>
      <w:r w:rsidR="00331C9F" w:rsidRPr="00331C9F">
        <w:rPr>
          <w:noProof/>
          <w:sz w:val="20"/>
          <w:szCs w:val="20"/>
        </w:rPr>
        <w:t>2</w:t>
      </w:r>
      <w:r>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 xml:space="preserve">(a)). In this case the UE can follow legacy behaviour, i.e., a total of 64 resources can be configured within a single DL-SB. CLI-RSSI is not measurement on the other DL-SB. </w:t>
      </w:r>
    </w:p>
    <w:p w14:paraId="728D082C" w14:textId="54077052" w:rsidR="00D82CB2" w:rsidRDefault="00D82CB2" w:rsidP="00D82CB2">
      <w:pPr>
        <w:pStyle w:val="ListParagraph"/>
        <w:numPr>
          <w:ilvl w:val="0"/>
          <w:numId w:val="84"/>
        </w:numPr>
        <w:jc w:val="both"/>
        <w:rPr>
          <w:rStyle w:val="CommentReference"/>
          <w:rFonts w:eastAsia="Malgun Gothic"/>
          <w:bCs/>
          <w:sz w:val="20"/>
          <w:lang w:eastAsia="ko-KR"/>
        </w:rPr>
      </w:pPr>
      <w:r>
        <w:rPr>
          <w:rStyle w:val="CommentReference"/>
          <w:rFonts w:eastAsia="Malgun Gothic"/>
          <w:b/>
          <w:sz w:val="20"/>
          <w:u w:val="single"/>
          <w:lang w:eastAsia="ko-KR"/>
        </w:rPr>
        <w:t>Case 2</w:t>
      </w:r>
      <w:r>
        <w:rPr>
          <w:rStyle w:val="CommentReference"/>
          <w:rFonts w:eastAsia="Malgun Gothic"/>
          <w:bCs/>
          <w:sz w:val="20"/>
          <w:lang w:eastAsia="ko-KR"/>
        </w:rPr>
        <w:t xml:space="preserve">: </w:t>
      </w:r>
      <w:bookmarkStart w:id="26" w:name="OLE_LINK119"/>
      <w:r>
        <w:rPr>
          <w:rStyle w:val="CommentReference"/>
          <w:rFonts w:eastAsia="Malgun Gothic"/>
          <w:bCs/>
          <w:sz w:val="20"/>
          <w:lang w:eastAsia="ko-KR"/>
        </w:rPr>
        <w:t xml:space="preserve">CLI-RSSI </w:t>
      </w:r>
      <w:bookmarkEnd w:id="26"/>
      <w:r>
        <w:rPr>
          <w:rStyle w:val="CommentReference"/>
          <w:rFonts w:eastAsia="Malgun Gothic"/>
          <w:bCs/>
          <w:sz w:val="20"/>
          <w:lang w:eastAsia="ko-KR"/>
        </w:rPr>
        <w:t>resources are confined within one DL-SB at one time and within the other DL-SB at another time (</w:t>
      </w:r>
      <w:r>
        <w:rPr>
          <w:rStyle w:val="CommentReference"/>
          <w:rFonts w:eastAsia="Malgun Gothic"/>
          <w:bCs/>
          <w:szCs w:val="20"/>
          <w:lang w:eastAsia="ko-KR"/>
        </w:rPr>
        <w:fldChar w:fldCharType="begin"/>
      </w:r>
      <w:r>
        <w:rPr>
          <w:rStyle w:val="CommentReference"/>
          <w:rFonts w:eastAsia="Malgun Gothic"/>
          <w:bCs/>
          <w:szCs w:val="20"/>
          <w:lang w:eastAsia="ko-KR"/>
        </w:rPr>
        <w:instrText xml:space="preserve"> REF _Ref178845588 \h  \* MERGEFORMAT </w:instrText>
      </w:r>
      <w:r>
        <w:rPr>
          <w:rStyle w:val="CommentReference"/>
          <w:rFonts w:eastAsia="Malgun Gothic"/>
          <w:bCs/>
          <w:szCs w:val="20"/>
          <w:lang w:eastAsia="ko-KR"/>
        </w:rPr>
      </w:r>
      <w:r>
        <w:rPr>
          <w:rStyle w:val="CommentReference"/>
          <w:rFonts w:eastAsia="Malgun Gothic"/>
          <w:bCs/>
          <w:szCs w:val="20"/>
          <w:lang w:eastAsia="ko-KR"/>
        </w:rPr>
        <w:fldChar w:fldCharType="separate"/>
      </w:r>
      <w:r w:rsidR="00331C9F" w:rsidRPr="00331C9F">
        <w:rPr>
          <w:sz w:val="20"/>
          <w:szCs w:val="20"/>
          <w:bdr w:val="none" w:sz="0" w:space="0" w:color="auto" w:frame="1"/>
        </w:rPr>
        <w:t xml:space="preserve">Figure </w:t>
      </w:r>
      <w:r w:rsidR="00331C9F" w:rsidRPr="00331C9F">
        <w:rPr>
          <w:noProof/>
          <w:sz w:val="20"/>
          <w:szCs w:val="20"/>
        </w:rPr>
        <w:t>2</w:t>
      </w:r>
      <w:r>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 Similar to Case 1, the total number of resouces can be configured within a single DL subband at a given time. This enables UE to perform CLI-RSSI measurement within both DL-SBs at different times.</w:t>
      </w:r>
    </w:p>
    <w:p w14:paraId="277F7CBE" w14:textId="6F67B96B" w:rsidR="00D82CB2" w:rsidRDefault="00D82CB2" w:rsidP="00D82CB2">
      <w:pPr>
        <w:pStyle w:val="ListParagraph"/>
        <w:numPr>
          <w:ilvl w:val="0"/>
          <w:numId w:val="84"/>
        </w:numPr>
        <w:jc w:val="both"/>
        <w:rPr>
          <w:rStyle w:val="CommentReference"/>
          <w:rFonts w:eastAsia="Malgun Gothic"/>
          <w:bCs/>
          <w:sz w:val="20"/>
          <w:lang w:eastAsia="ko-KR"/>
        </w:rPr>
      </w:pPr>
      <w:r>
        <w:rPr>
          <w:rStyle w:val="CommentReference"/>
          <w:rFonts w:eastAsia="Malgun Gothic"/>
          <w:b/>
          <w:sz w:val="20"/>
          <w:u w:val="single"/>
          <w:lang w:eastAsia="ko-KR"/>
        </w:rPr>
        <w:t>Case 3</w:t>
      </w:r>
      <w:r>
        <w:rPr>
          <w:rStyle w:val="CommentReference"/>
          <w:rFonts w:eastAsia="Malgun Gothic"/>
          <w:bCs/>
          <w:sz w:val="20"/>
          <w:lang w:eastAsia="ko-KR"/>
        </w:rPr>
        <w:t xml:space="preserve">: CLI-RSSI resources are configured within two DL-SB, each single resource is within a DL-SB </w:t>
      </w:r>
      <w:bookmarkStart w:id="27" w:name="OLE_LINK448"/>
      <w:r>
        <w:rPr>
          <w:rStyle w:val="CommentReference"/>
          <w:rFonts w:eastAsia="Malgun Gothic"/>
          <w:bCs/>
          <w:sz w:val="20"/>
          <w:lang w:eastAsia="ko-KR"/>
        </w:rPr>
        <w:t>((</w:t>
      </w:r>
      <w:bookmarkStart w:id="28" w:name="OLE_LINK1"/>
      <w:r>
        <w:fldChar w:fldCharType="begin"/>
      </w:r>
      <w:r>
        <w:rPr>
          <w:rStyle w:val="CommentReference"/>
          <w:rFonts w:eastAsia="Malgun Gothic"/>
          <w:bCs/>
          <w:szCs w:val="20"/>
          <w:lang w:eastAsia="ko-KR"/>
        </w:rPr>
        <w:instrText xml:space="preserve"> REF _Ref178845588 \h  \* MERGEFORMAT </w:instrText>
      </w:r>
      <w:r>
        <w:fldChar w:fldCharType="separate"/>
      </w:r>
      <w:r w:rsidR="00331C9F" w:rsidRPr="00331C9F">
        <w:rPr>
          <w:sz w:val="20"/>
          <w:szCs w:val="20"/>
          <w:bdr w:val="none" w:sz="0" w:space="0" w:color="auto" w:frame="1"/>
        </w:rPr>
        <w:t xml:space="preserve">Figure </w:t>
      </w:r>
      <w:r w:rsidR="00331C9F" w:rsidRPr="00331C9F">
        <w:rPr>
          <w:noProof/>
          <w:sz w:val="20"/>
          <w:szCs w:val="20"/>
        </w:rPr>
        <w:t>2</w:t>
      </w:r>
      <w:r>
        <w:fldChar w:fldCharType="end"/>
      </w:r>
      <w:r>
        <w:rPr>
          <w:rStyle w:val="CommentReference"/>
          <w:rFonts w:eastAsia="Malgun Gothic"/>
          <w:bCs/>
          <w:sz w:val="20"/>
          <w:lang w:eastAsia="ko-KR"/>
        </w:rPr>
        <w:t xml:space="preserve"> </w:t>
      </w:r>
      <w:bookmarkEnd w:id="28"/>
      <w:r>
        <w:rPr>
          <w:rStyle w:val="CommentReference"/>
          <w:rFonts w:eastAsia="Malgun Gothic"/>
          <w:bCs/>
          <w:sz w:val="20"/>
          <w:lang w:eastAsia="ko-KR"/>
        </w:rPr>
        <w:t xml:space="preserve">(c)).   </w:t>
      </w:r>
      <w:bookmarkEnd w:id="27"/>
      <w:r>
        <w:rPr>
          <w:rStyle w:val="CommentReference"/>
          <w:rFonts w:eastAsia="Malgun Gothic"/>
          <w:bCs/>
          <w:sz w:val="20"/>
          <w:lang w:eastAsia="ko-KR"/>
        </w:rPr>
        <w:t>In this case</w:t>
      </w:r>
      <w:r>
        <w:rPr>
          <w:rStyle w:val="CommentReference"/>
          <w:rFonts w:eastAsia="Malgun Gothic"/>
          <w:bCs/>
          <w:sz w:val="20"/>
          <w:szCs w:val="20"/>
          <w:lang w:val="en-GB" w:eastAsia="ko-KR"/>
        </w:rPr>
        <w:t xml:space="preserve"> the total number of measurement resources can be shared between the two DL-SBs, e.g., maximum of 32 resources per DL-SB</w:t>
      </w:r>
      <w:r>
        <w:rPr>
          <w:rStyle w:val="CommentReference"/>
          <w:rFonts w:eastAsia="Malgun Gothic"/>
          <w:bCs/>
          <w:sz w:val="20"/>
          <w:lang w:eastAsia="ko-KR"/>
        </w:rPr>
        <w:t xml:space="preserve">. </w:t>
      </w:r>
      <w:r>
        <w:rPr>
          <w:rStyle w:val="CommentReference"/>
          <w:rFonts w:eastAsia="Malgun Gothic"/>
          <w:bCs/>
          <w:sz w:val="20"/>
          <w:szCs w:val="20"/>
          <w:lang w:val="en-GB" w:eastAsia="ko-KR"/>
        </w:rPr>
        <w:t xml:space="preserve">  </w:t>
      </w:r>
    </w:p>
    <w:p w14:paraId="60E14922" w14:textId="77777777" w:rsidR="00D82CB2" w:rsidRDefault="00D82CB2" w:rsidP="00D82CB2">
      <w:pPr>
        <w:pStyle w:val="ListParagraph"/>
        <w:jc w:val="both"/>
        <w:rPr>
          <w:rStyle w:val="CommentReference"/>
          <w:rFonts w:eastAsia="Malgun Gothic"/>
          <w:bCs/>
          <w:sz w:val="20"/>
          <w:szCs w:val="20"/>
          <w:lang w:val="en-GB" w:eastAsia="ko-KR"/>
        </w:rPr>
      </w:pPr>
    </w:p>
    <w:p w14:paraId="3DBF7B76" w14:textId="561F4689" w:rsidR="00D82CB2" w:rsidRDefault="00D82CB2" w:rsidP="00D82CB2">
      <w:pPr>
        <w:spacing w:after="0"/>
        <w:jc w:val="both"/>
        <w:rPr>
          <w:rStyle w:val="CommentReference"/>
          <w:rFonts w:eastAsia="Malgun Gothic"/>
          <w:bCs/>
          <w:lang w:eastAsia="ko-KR"/>
        </w:rPr>
      </w:pPr>
      <w:r>
        <w:rPr>
          <w:rFonts w:eastAsia="Malgun Gothic"/>
          <w:noProof/>
          <w:sz w:val="16"/>
          <w:lang w:eastAsia="ko-KR"/>
        </w:rPr>
        <w:drawing>
          <wp:inline distT="0" distB="0" distL="0" distR="0" wp14:anchorId="249F007E" wp14:editId="6199A0BD">
            <wp:extent cx="1885950" cy="1155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85950" cy="1155700"/>
                    </a:xfrm>
                    <a:prstGeom prst="rect">
                      <a:avLst/>
                    </a:prstGeom>
                    <a:noFill/>
                    <a:ln>
                      <a:noFill/>
                    </a:ln>
                  </pic:spPr>
                </pic:pic>
              </a:graphicData>
            </a:graphic>
          </wp:inline>
        </w:drawing>
      </w:r>
      <w:r>
        <w:rPr>
          <w:rStyle w:val="CommentReference"/>
          <w:rFonts w:eastAsia="Malgun Gothic"/>
          <w:bCs/>
          <w:lang w:eastAsia="ko-KR"/>
        </w:rPr>
        <w:t xml:space="preserve">        </w:t>
      </w:r>
      <w:r>
        <w:rPr>
          <w:rStyle w:val="CommentReference"/>
          <w:rFonts w:eastAsia="Malgun Gothic"/>
          <w:bCs/>
          <w:noProof/>
          <w:lang w:eastAsia="ko-KR"/>
        </w:rPr>
        <w:t xml:space="preserve"> </w:t>
      </w:r>
      <w:r>
        <w:rPr>
          <w:rFonts w:eastAsia="Malgun Gothic"/>
          <w:noProof/>
          <w:sz w:val="16"/>
          <w:lang w:eastAsia="ko-KR"/>
        </w:rPr>
        <w:drawing>
          <wp:inline distT="0" distB="0" distL="0" distR="0" wp14:anchorId="02E2ABF5" wp14:editId="320FE63F">
            <wp:extent cx="1841500" cy="114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0" cy="1143000"/>
                    </a:xfrm>
                    <a:prstGeom prst="rect">
                      <a:avLst/>
                    </a:prstGeom>
                    <a:noFill/>
                    <a:ln>
                      <a:noFill/>
                    </a:ln>
                  </pic:spPr>
                </pic:pic>
              </a:graphicData>
            </a:graphic>
          </wp:inline>
        </w:drawing>
      </w:r>
      <w:r>
        <w:rPr>
          <w:rStyle w:val="CommentReference"/>
          <w:rFonts w:eastAsia="Malgun Gothic"/>
          <w:bCs/>
          <w:noProof/>
          <w:lang w:eastAsia="ko-KR"/>
        </w:rPr>
        <w:t xml:space="preserve">        </w:t>
      </w:r>
      <w:r>
        <w:rPr>
          <w:rFonts w:eastAsia="Malgun Gothic"/>
          <w:noProof/>
          <w:sz w:val="16"/>
          <w:lang w:eastAsia="ko-KR"/>
        </w:rPr>
        <w:drawing>
          <wp:inline distT="0" distB="0" distL="0" distR="0" wp14:anchorId="4CEB82BC" wp14:editId="6CF3D75B">
            <wp:extent cx="1841500" cy="111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0" cy="1117600"/>
                    </a:xfrm>
                    <a:prstGeom prst="rect">
                      <a:avLst/>
                    </a:prstGeom>
                    <a:noFill/>
                    <a:ln>
                      <a:noFill/>
                    </a:ln>
                  </pic:spPr>
                </pic:pic>
              </a:graphicData>
            </a:graphic>
          </wp:inline>
        </w:drawing>
      </w:r>
    </w:p>
    <w:p w14:paraId="75F03D19" w14:textId="19DBF622" w:rsidR="00D82CB2" w:rsidRDefault="00D82CB2" w:rsidP="00D82CB2">
      <w:pPr>
        <w:pStyle w:val="ListParagraph"/>
        <w:numPr>
          <w:ilvl w:val="0"/>
          <w:numId w:val="85"/>
        </w:numPr>
        <w:rPr>
          <w:bdr w:val="none" w:sz="0" w:space="0" w:color="auto" w:frame="1"/>
        </w:rPr>
      </w:pPr>
      <w:r>
        <w:rPr>
          <w:bdr w:val="none" w:sz="0" w:space="0" w:color="auto" w:frame="1"/>
        </w:rPr>
        <w:t xml:space="preserve">                                        </w:t>
      </w:r>
      <w:r w:rsidRPr="00CA6B2B">
        <w:rPr>
          <w:sz w:val="20"/>
          <w:szCs w:val="20"/>
          <w:bdr w:val="none" w:sz="0" w:space="0" w:color="auto" w:frame="1"/>
        </w:rPr>
        <w:t xml:space="preserve">(b)                                      </w:t>
      </w:r>
      <w:r w:rsidR="00CA6B2B">
        <w:rPr>
          <w:sz w:val="20"/>
          <w:szCs w:val="20"/>
          <w:bdr w:val="none" w:sz="0" w:space="0" w:color="auto" w:frame="1"/>
        </w:rPr>
        <w:t xml:space="preserve">                 </w:t>
      </w:r>
      <w:r w:rsidRPr="00CA6B2B">
        <w:rPr>
          <w:sz w:val="20"/>
          <w:szCs w:val="20"/>
          <w:bdr w:val="none" w:sz="0" w:space="0" w:color="auto" w:frame="1"/>
        </w:rPr>
        <w:t xml:space="preserve">           (c)</w:t>
      </w:r>
    </w:p>
    <w:p w14:paraId="1C64E31E" w14:textId="4B223F13" w:rsidR="00D82CB2" w:rsidRPr="00E35DC9" w:rsidRDefault="00D82CB2" w:rsidP="00E35DC9">
      <w:pPr>
        <w:contextualSpacing/>
        <w:jc w:val="center"/>
        <w:rPr>
          <w:rStyle w:val="CommentReference"/>
          <w:rFonts w:eastAsia="Malgun Gothic"/>
          <w:bCs/>
          <w:lang w:eastAsia="ko-KR"/>
        </w:rPr>
      </w:pPr>
      <w:bookmarkStart w:id="29" w:name="_Ref178845588"/>
      <w:r>
        <w:rPr>
          <w:bdr w:val="none" w:sz="0" w:space="0" w:color="auto" w:frame="1"/>
        </w:rPr>
        <w:t xml:space="preserve">Figure </w:t>
      </w:r>
      <w:r>
        <w:fldChar w:fldCharType="begin"/>
      </w:r>
      <w:r>
        <w:instrText xml:space="preserve"> SEQ Figure \* ARABIC </w:instrText>
      </w:r>
      <w:r>
        <w:fldChar w:fldCharType="separate"/>
      </w:r>
      <w:r w:rsidR="00331C9F">
        <w:rPr>
          <w:noProof/>
        </w:rPr>
        <w:t>2</w:t>
      </w:r>
      <w:r>
        <w:fldChar w:fldCharType="end"/>
      </w:r>
      <w:bookmarkEnd w:id="29"/>
      <w:r>
        <w:rPr>
          <w:bdr w:val="none" w:sz="0" w:space="0" w:color="auto" w:frame="1"/>
        </w:rPr>
        <w:t xml:space="preserve">: CLI-RSSI Measurement Resources (a) Resource always within the same DL-SB (b) Resources within different DL-SB at different times. (c) Resources within two DL-SBs, each single resource is within a single DL-SB </w:t>
      </w:r>
      <w:r>
        <w:rPr>
          <w:rStyle w:val="CommentReference"/>
          <w:rFonts w:eastAsia="Malgun Gothic"/>
          <w:bCs/>
          <w:lang w:eastAsia="ko-KR"/>
        </w:rPr>
        <w:t xml:space="preserve">                                                      </w:t>
      </w:r>
    </w:p>
    <w:p w14:paraId="6569B343" w14:textId="77777777" w:rsidR="00D82CB2" w:rsidRDefault="00D82CB2" w:rsidP="00D82CB2">
      <w:pPr>
        <w:spacing w:after="0"/>
        <w:jc w:val="both"/>
        <w:rPr>
          <w:rStyle w:val="CommentReference"/>
          <w:rFonts w:eastAsia="Malgun Gothic"/>
          <w:bCs/>
          <w:lang w:eastAsia="ko-KR"/>
        </w:rPr>
      </w:pPr>
      <w:bookmarkStart w:id="30" w:name="OLE_LINK446"/>
    </w:p>
    <w:p w14:paraId="230F087A" w14:textId="77777777" w:rsidR="00D82CB2" w:rsidRDefault="00D82CB2" w:rsidP="00E35DC9">
      <w:pPr>
        <w:pStyle w:val="ListParagraph"/>
        <w:numPr>
          <w:ilvl w:val="0"/>
          <w:numId w:val="89"/>
        </w:numPr>
        <w:spacing w:after="60"/>
        <w:jc w:val="both"/>
        <w:rPr>
          <w:b/>
          <w:i/>
          <w:iCs/>
          <w:sz w:val="20"/>
          <w:szCs w:val="20"/>
          <w:lang w:val="en-GB"/>
        </w:rPr>
      </w:pPr>
      <w:bookmarkStart w:id="31" w:name="OLE_LINK134"/>
      <w:bookmarkEnd w:id="30"/>
      <w:r>
        <w:rPr>
          <w:b/>
          <w:bCs/>
          <w:i/>
          <w:iCs/>
          <w:sz w:val="20"/>
          <w:szCs w:val="20"/>
          <w:lang w:val="en-GB"/>
        </w:rPr>
        <w:t xml:space="preserve">The maximum number of L1 </w:t>
      </w:r>
      <w:bookmarkStart w:id="32" w:name="OLE_LINK457"/>
      <w:r>
        <w:rPr>
          <w:b/>
          <w:bCs/>
          <w:i/>
          <w:iCs/>
          <w:sz w:val="20"/>
          <w:szCs w:val="20"/>
          <w:lang w:val="en-GB"/>
        </w:rPr>
        <w:t xml:space="preserve">CLI-RSSI measurement </w:t>
      </w:r>
      <w:bookmarkEnd w:id="32"/>
      <w:r>
        <w:rPr>
          <w:b/>
          <w:bCs/>
          <w:i/>
          <w:iCs/>
          <w:sz w:val="20"/>
          <w:szCs w:val="20"/>
          <w:lang w:val="en-GB"/>
        </w:rPr>
        <w:t>resources that can be configured is same as legacy (i.e., maximum of 64 resources</w:t>
      </w:r>
      <w:bookmarkEnd w:id="31"/>
      <w:r>
        <w:rPr>
          <w:b/>
          <w:bCs/>
          <w:i/>
          <w:iCs/>
          <w:sz w:val="20"/>
          <w:szCs w:val="20"/>
          <w:lang w:val="en-GB"/>
        </w:rPr>
        <w:t xml:space="preserve">). </w:t>
      </w:r>
    </w:p>
    <w:p w14:paraId="39FA2C35" w14:textId="72F6464C" w:rsidR="00506DCE" w:rsidRPr="00D82CB2" w:rsidRDefault="00D82CB2" w:rsidP="00E35DC9">
      <w:pPr>
        <w:pStyle w:val="ListParagraph"/>
        <w:numPr>
          <w:ilvl w:val="0"/>
          <w:numId w:val="89"/>
        </w:numPr>
        <w:spacing w:after="60"/>
        <w:jc w:val="both"/>
        <w:rPr>
          <w:b/>
          <w:bCs/>
          <w:i/>
          <w:iCs/>
          <w:sz w:val="20"/>
          <w:szCs w:val="20"/>
          <w:lang w:val="en-GB"/>
        </w:rPr>
      </w:pPr>
      <w:r>
        <w:rPr>
          <w:b/>
          <w:bCs/>
          <w:i/>
          <w:iCs/>
          <w:sz w:val="20"/>
          <w:szCs w:val="20"/>
          <w:lang w:val="en-GB"/>
        </w:rPr>
        <w:lastRenderedPageBreak/>
        <w:t xml:space="preserve"> The maximum number of L1 SRS-RSSI measurement resources that can be configured is same as legacy (i.e., maximum of 32 resources). </w:t>
      </w:r>
    </w:p>
    <w:p w14:paraId="773DE212" w14:textId="64B054E6" w:rsidR="0099307C" w:rsidRPr="008A290F" w:rsidRDefault="0099307C" w:rsidP="005D664D">
      <w:pPr>
        <w:pStyle w:val="Heading1"/>
        <w:jc w:val="both"/>
      </w:pPr>
      <w:r w:rsidRPr="008A290F">
        <w:t>Conclusion</w:t>
      </w:r>
    </w:p>
    <w:p w14:paraId="675FAFC7" w14:textId="5C511F92" w:rsidR="0014595D" w:rsidRPr="00844E6C" w:rsidRDefault="00777AB2" w:rsidP="00844E6C">
      <w:pPr>
        <w:jc w:val="both"/>
        <w:rPr>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w:t>
      </w:r>
    </w:p>
    <w:p w14:paraId="7BBD12C8" w14:textId="0401B832" w:rsidR="00395494" w:rsidRPr="00395494" w:rsidRDefault="00395494" w:rsidP="00395494">
      <w:pPr>
        <w:pStyle w:val="ListParagraph"/>
        <w:numPr>
          <w:ilvl w:val="0"/>
          <w:numId w:val="11"/>
        </w:numPr>
        <w:spacing w:before="120"/>
        <w:jc w:val="both"/>
        <w:rPr>
          <w:b/>
          <w:bCs/>
          <w:i/>
          <w:iCs/>
          <w:sz w:val="20"/>
          <w:szCs w:val="20"/>
          <w:lang w:eastAsia="zh-TW"/>
        </w:rPr>
      </w:pPr>
      <w:r>
        <w:rPr>
          <w:b/>
          <w:bCs/>
          <w:i/>
          <w:iCs/>
          <w:sz w:val="20"/>
          <w:szCs w:val="20"/>
        </w:rPr>
        <w:t xml:space="preserve">RAN1 to clarify how to determine the reference point for subcarrier k for PUSCH DMRS mapping </w:t>
      </w:r>
      <w:r>
        <w:rPr>
          <w:b/>
          <w:bCs/>
          <w:i/>
          <w:iCs/>
          <w:sz w:val="20"/>
          <w:szCs w:val="20"/>
          <w:lang w:eastAsia="en-US"/>
        </w:rPr>
        <w:t xml:space="preserve">when scheduled PUSCH allocation overlaps with SBFD boundary and transform precoding is enabled. </w:t>
      </w:r>
    </w:p>
    <w:p w14:paraId="45876BDA" w14:textId="41DC3EB1" w:rsidR="00BF49B9" w:rsidRPr="00F058C7" w:rsidRDefault="00BF49B9" w:rsidP="00E83D49">
      <w:pPr>
        <w:pStyle w:val="ListParagraph"/>
        <w:numPr>
          <w:ilvl w:val="0"/>
          <w:numId w:val="11"/>
        </w:numPr>
        <w:spacing w:after="60"/>
        <w:jc w:val="both"/>
        <w:rPr>
          <w:b/>
          <w:bCs/>
          <w:i/>
          <w:iCs/>
          <w:sz w:val="12"/>
          <w:szCs w:val="12"/>
          <w:lang w:val="en-GB"/>
        </w:rPr>
      </w:pPr>
      <w:r w:rsidRPr="00BF49B9">
        <w:rPr>
          <w:b/>
          <w:bCs/>
          <w:i/>
          <w:iCs/>
          <w:sz w:val="20"/>
          <w:szCs w:val="20"/>
          <w:lang w:eastAsia="ko-KR"/>
        </w:rPr>
        <w:t xml:space="preserve">For SBFD operation in half-duplex CA scenario, the existing directional collision handling for half-duplex TDD CA is reused by treating SBFD symbols as flexible symbols. </w:t>
      </w:r>
    </w:p>
    <w:p w14:paraId="0CC80F1E" w14:textId="77777777" w:rsidR="00F058C7" w:rsidRDefault="00F058C7" w:rsidP="00F058C7">
      <w:pPr>
        <w:pStyle w:val="ListParagraph"/>
        <w:numPr>
          <w:ilvl w:val="0"/>
          <w:numId w:val="11"/>
        </w:numPr>
        <w:jc w:val="both"/>
      </w:pPr>
      <w:r>
        <w:rPr>
          <w:rFonts w:cstheme="minorHAnsi"/>
          <w:b/>
          <w:bCs/>
          <w:i/>
          <w:iCs/>
          <w:sz w:val="20"/>
          <w:szCs w:val="20"/>
          <w:lang w:val="en-GB"/>
        </w:rPr>
        <w:t xml:space="preserve">RAN1 to determine how to handle the transition from SBFD to non-SBFD operation when ROs across SBFD and non-SBFD symbols are considered as valid. </w:t>
      </w:r>
    </w:p>
    <w:p w14:paraId="4386DC85" w14:textId="77777777" w:rsidR="00F058C7" w:rsidRDefault="00F058C7" w:rsidP="00F058C7">
      <w:pPr>
        <w:pStyle w:val="ListParagraph"/>
        <w:numPr>
          <w:ilvl w:val="0"/>
          <w:numId w:val="11"/>
        </w:numPr>
        <w:spacing w:after="60"/>
        <w:jc w:val="both"/>
        <w:rPr>
          <w:b/>
          <w:i/>
          <w:iCs/>
          <w:sz w:val="20"/>
          <w:szCs w:val="20"/>
          <w:lang w:val="en-GB"/>
        </w:rPr>
      </w:pPr>
      <w:r>
        <w:rPr>
          <w:b/>
          <w:bCs/>
          <w:i/>
          <w:iCs/>
          <w:sz w:val="20"/>
          <w:szCs w:val="20"/>
          <w:lang w:val="en-GB"/>
        </w:rPr>
        <w:t xml:space="preserve">The maximum number of L1 CLI-RSSI measurement resources that can be configured is same as legacy (i.e., maximum of 64 resources). </w:t>
      </w:r>
    </w:p>
    <w:p w14:paraId="0DD8586A" w14:textId="42E27B83" w:rsidR="00F058C7" w:rsidRPr="00F058C7" w:rsidRDefault="00F058C7" w:rsidP="00E83D49">
      <w:pPr>
        <w:pStyle w:val="ListParagraph"/>
        <w:numPr>
          <w:ilvl w:val="0"/>
          <w:numId w:val="11"/>
        </w:numPr>
        <w:spacing w:after="60"/>
        <w:jc w:val="both"/>
        <w:rPr>
          <w:b/>
          <w:bCs/>
          <w:i/>
          <w:iCs/>
          <w:sz w:val="8"/>
          <w:szCs w:val="8"/>
          <w:lang w:val="en-GB"/>
        </w:rPr>
      </w:pPr>
      <w:r w:rsidRPr="00F058C7">
        <w:rPr>
          <w:b/>
          <w:bCs/>
          <w:i/>
          <w:iCs/>
          <w:sz w:val="20"/>
          <w:szCs w:val="20"/>
        </w:rPr>
        <w:t>The maximum number of L1 SRS-RSSI measurement resources that can be configured is same as legacy (i.e., maximum of 32 resources).</w:t>
      </w:r>
    </w:p>
    <w:p w14:paraId="246F60D1" w14:textId="77777777" w:rsidR="00491EFE" w:rsidRPr="00E25DD8" w:rsidRDefault="00491EFE" w:rsidP="00491EFE">
      <w:pPr>
        <w:pStyle w:val="ListParagraph"/>
        <w:ind w:left="0"/>
        <w:jc w:val="both"/>
        <w:rPr>
          <w:sz w:val="20"/>
          <w:szCs w:val="20"/>
          <w:lang w:val="en-GB" w:eastAsia="en-US"/>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2EF9638A" w:rsidR="00FB3D16" w:rsidRPr="003009C2" w:rsidRDefault="00FB3D16" w:rsidP="00FB3D16">
      <w:pPr>
        <w:pStyle w:val="ListParagraph"/>
        <w:numPr>
          <w:ilvl w:val="0"/>
          <w:numId w:val="4"/>
        </w:numPr>
        <w:contextualSpacing w:val="0"/>
        <w:rPr>
          <w:sz w:val="20"/>
          <w:szCs w:val="20"/>
          <w:lang w:val="en-GB"/>
        </w:rPr>
      </w:pPr>
      <w:bookmarkStart w:id="33" w:name="_Ref47545028"/>
      <w:bookmarkStart w:id="34" w:name="_Ref159238007"/>
      <w:r w:rsidRPr="000D401B">
        <w:rPr>
          <w:sz w:val="20"/>
          <w:szCs w:val="20"/>
          <w:lang w:val="en-GB"/>
        </w:rPr>
        <w:t>RP-24</w:t>
      </w:r>
      <w:r w:rsidR="00887E4E">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887E4E">
        <w:rPr>
          <w:sz w:val="20"/>
          <w:szCs w:val="20"/>
          <w:lang w:val="en-GB"/>
        </w:rPr>
        <w:t>6</w:t>
      </w:r>
      <w:r w:rsidRPr="000D401B">
        <w:rPr>
          <w:sz w:val="20"/>
          <w:szCs w:val="20"/>
          <w:lang w:val="en-GB"/>
        </w:rPr>
        <w:t xml:space="preserve">, </w:t>
      </w:r>
      <w:r w:rsidR="00887E4E">
        <w:rPr>
          <w:sz w:val="20"/>
          <w:szCs w:val="20"/>
          <w:lang w:val="en-GB"/>
        </w:rPr>
        <w:t>December</w:t>
      </w:r>
      <w:r w:rsidRPr="000D401B">
        <w:rPr>
          <w:sz w:val="20"/>
          <w:szCs w:val="20"/>
          <w:lang w:val="en-GB"/>
        </w:rPr>
        <w:t xml:space="preserve"> 202</w:t>
      </w:r>
      <w:bookmarkEnd w:id="33"/>
      <w:r w:rsidRPr="000D401B">
        <w:rPr>
          <w:sz w:val="20"/>
          <w:szCs w:val="20"/>
          <w:lang w:val="en-GB"/>
        </w:rPr>
        <w:t>4.</w:t>
      </w:r>
      <w:bookmarkEnd w:id="34"/>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D9591" w14:textId="77777777" w:rsidR="00926390" w:rsidRDefault="00926390">
      <w:r>
        <w:separator/>
      </w:r>
    </w:p>
  </w:endnote>
  <w:endnote w:type="continuationSeparator" w:id="0">
    <w:p w14:paraId="3AF41D79" w14:textId="77777777" w:rsidR="00926390" w:rsidRDefault="00926390">
      <w:r>
        <w:continuationSeparator/>
      </w:r>
    </w:p>
  </w:endnote>
  <w:endnote w:type="continuationNotice" w:id="1">
    <w:p w14:paraId="310802B8" w14:textId="77777777" w:rsidR="00926390" w:rsidRDefault="0092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2998C" w14:textId="77777777" w:rsidR="00926390" w:rsidRDefault="00926390">
      <w:r>
        <w:separator/>
      </w:r>
    </w:p>
  </w:footnote>
  <w:footnote w:type="continuationSeparator" w:id="0">
    <w:p w14:paraId="0B2F5CD8" w14:textId="77777777" w:rsidR="00926390" w:rsidRDefault="00926390">
      <w:r>
        <w:continuationSeparator/>
      </w:r>
    </w:p>
  </w:footnote>
  <w:footnote w:type="continuationNotice" w:id="1">
    <w:p w14:paraId="0D8AC617" w14:textId="77777777" w:rsidR="00926390" w:rsidRDefault="00926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03C5"/>
    <w:multiLevelType w:val="hybridMultilevel"/>
    <w:tmpl w:val="71D8F4D2"/>
    <w:lvl w:ilvl="0" w:tplc="F5E04F34">
      <w:start w:val="2"/>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C1AB9"/>
    <w:multiLevelType w:val="multilevel"/>
    <w:tmpl w:val="9D788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20DDD"/>
    <w:multiLevelType w:val="hybridMultilevel"/>
    <w:tmpl w:val="112C0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7D208A"/>
    <w:multiLevelType w:val="hybridMultilevel"/>
    <w:tmpl w:val="487E983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8B57E6"/>
    <w:multiLevelType w:val="hybridMultilevel"/>
    <w:tmpl w:val="56F0C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C569B7"/>
    <w:multiLevelType w:val="hybridMultilevel"/>
    <w:tmpl w:val="A08CB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7F7ECA"/>
    <w:multiLevelType w:val="hybridMultilevel"/>
    <w:tmpl w:val="5E5EAAD8"/>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551622"/>
    <w:multiLevelType w:val="hybridMultilevel"/>
    <w:tmpl w:val="84C871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11" w15:restartNumberingAfterBreak="0">
    <w:nsid w:val="11C9766F"/>
    <w:multiLevelType w:val="hybridMultilevel"/>
    <w:tmpl w:val="11949D54"/>
    <w:lvl w:ilvl="0" w:tplc="3ED28CB8">
      <w:start w:val="1"/>
      <w:numFmt w:val="decimal"/>
      <w:suff w:val="space"/>
      <w:lvlText w:val="Proposal %1:"/>
      <w:lvlJc w:val="left"/>
      <w:pPr>
        <w:ind w:left="0" w:firstLine="0"/>
      </w:pPr>
      <w:rPr>
        <w:b/>
        <w:bCs/>
        <w:i/>
        <w:iCs/>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44129EF"/>
    <w:multiLevelType w:val="hybridMultilevel"/>
    <w:tmpl w:val="0EC0285A"/>
    <w:lvl w:ilvl="0" w:tplc="35A8CAA2">
      <w:start w:val="6"/>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9A7473"/>
    <w:multiLevelType w:val="hybridMultilevel"/>
    <w:tmpl w:val="4A8646E6"/>
    <w:lvl w:ilvl="0" w:tplc="7DF47D4E">
      <w:start w:val="4"/>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5C52F9"/>
    <w:multiLevelType w:val="hybridMultilevel"/>
    <w:tmpl w:val="E87ED628"/>
    <w:lvl w:ilvl="0" w:tplc="D9900400">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E019C5"/>
    <w:multiLevelType w:val="hybridMultilevel"/>
    <w:tmpl w:val="C04241B6"/>
    <w:lvl w:ilvl="0" w:tplc="6D40B79C">
      <w:start w:val="1"/>
      <w:numFmt w:val="decimal"/>
      <w:suff w:val="space"/>
      <w:lvlText w:val="Proposal %1:"/>
      <w:lvlJc w:val="left"/>
      <w:pPr>
        <w:ind w:left="0" w:firstLine="0"/>
      </w:pPr>
      <w:rPr>
        <w:b/>
        <w:bCs/>
        <w:i/>
        <w:iCs/>
        <w:sz w:val="20"/>
        <w:szCs w:val="20"/>
      </w:rPr>
    </w:lvl>
    <w:lvl w:ilvl="1" w:tplc="08090019">
      <w:start w:val="1"/>
      <w:numFmt w:val="lowerLetter"/>
      <w:lvlText w:val="%2."/>
      <w:lvlJc w:val="left"/>
      <w:pPr>
        <w:ind w:left="873" w:hanging="360"/>
      </w:pPr>
    </w:lvl>
    <w:lvl w:ilvl="2" w:tplc="0809001B">
      <w:start w:val="1"/>
      <w:numFmt w:val="lowerRoman"/>
      <w:lvlText w:val="%3."/>
      <w:lvlJc w:val="right"/>
      <w:pPr>
        <w:ind w:left="1593" w:hanging="180"/>
      </w:pPr>
    </w:lvl>
    <w:lvl w:ilvl="3" w:tplc="0809000F">
      <w:start w:val="1"/>
      <w:numFmt w:val="decimal"/>
      <w:lvlText w:val="%4."/>
      <w:lvlJc w:val="left"/>
      <w:pPr>
        <w:ind w:left="2313" w:hanging="360"/>
      </w:pPr>
    </w:lvl>
    <w:lvl w:ilvl="4" w:tplc="08090019">
      <w:start w:val="1"/>
      <w:numFmt w:val="lowerLetter"/>
      <w:lvlText w:val="%5."/>
      <w:lvlJc w:val="left"/>
      <w:pPr>
        <w:ind w:left="3033" w:hanging="360"/>
      </w:pPr>
    </w:lvl>
    <w:lvl w:ilvl="5" w:tplc="0809001B">
      <w:start w:val="1"/>
      <w:numFmt w:val="lowerRoman"/>
      <w:lvlText w:val="%6."/>
      <w:lvlJc w:val="right"/>
      <w:pPr>
        <w:ind w:left="3753" w:hanging="180"/>
      </w:pPr>
    </w:lvl>
    <w:lvl w:ilvl="6" w:tplc="0809000F">
      <w:start w:val="1"/>
      <w:numFmt w:val="decimal"/>
      <w:lvlText w:val="%7."/>
      <w:lvlJc w:val="left"/>
      <w:pPr>
        <w:ind w:left="4473" w:hanging="360"/>
      </w:pPr>
    </w:lvl>
    <w:lvl w:ilvl="7" w:tplc="08090019">
      <w:start w:val="1"/>
      <w:numFmt w:val="lowerLetter"/>
      <w:lvlText w:val="%8."/>
      <w:lvlJc w:val="left"/>
      <w:pPr>
        <w:ind w:left="5193" w:hanging="360"/>
      </w:pPr>
    </w:lvl>
    <w:lvl w:ilvl="8" w:tplc="0809001B">
      <w:start w:val="1"/>
      <w:numFmt w:val="lowerRoman"/>
      <w:lvlText w:val="%9."/>
      <w:lvlJc w:val="right"/>
      <w:pPr>
        <w:ind w:left="5913" w:hanging="180"/>
      </w:pPr>
    </w:lvl>
  </w:abstractNum>
  <w:abstractNum w:abstractNumId="19" w15:restartNumberingAfterBreak="0">
    <w:nsid w:val="27411A71"/>
    <w:multiLevelType w:val="hybridMultilevel"/>
    <w:tmpl w:val="8ECA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3276F1"/>
    <w:multiLevelType w:val="hybridMultilevel"/>
    <w:tmpl w:val="8B7480F0"/>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71D80"/>
    <w:multiLevelType w:val="hybridMultilevel"/>
    <w:tmpl w:val="F4B66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856839"/>
    <w:multiLevelType w:val="hybridMultilevel"/>
    <w:tmpl w:val="CA6063F8"/>
    <w:lvl w:ilvl="0" w:tplc="E196D248">
      <w:start w:val="12"/>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901824"/>
    <w:multiLevelType w:val="hybridMultilevel"/>
    <w:tmpl w:val="7FF8E82E"/>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AC840FE"/>
    <w:multiLevelType w:val="hybridMultilevel"/>
    <w:tmpl w:val="117C3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042596C"/>
    <w:multiLevelType w:val="multilevel"/>
    <w:tmpl w:val="FB708A2C"/>
    <w:lvl w:ilvl="0">
      <w:start w:val="150"/>
      <w:numFmt w:val="bullet"/>
      <w:lvlText w:val="-"/>
      <w:lvlJc w:val="left"/>
      <w:pPr>
        <w:tabs>
          <w:tab w:val="num" w:pos="-76"/>
        </w:tabs>
        <w:ind w:left="644" w:hanging="360"/>
      </w:pPr>
      <w:rPr>
        <w:rFonts w:ascii="Times" w:hAnsi="Times" w:cs="Times" w:hint="default"/>
      </w:rPr>
    </w:lvl>
    <w:lvl w:ilvl="1">
      <w:start w:val="1"/>
      <w:numFmt w:val="bullet"/>
      <w:lvlText w:val="o"/>
      <w:lvlJc w:val="left"/>
      <w:pPr>
        <w:tabs>
          <w:tab w:val="num" w:pos="-76"/>
        </w:tabs>
        <w:ind w:left="1364" w:hanging="360"/>
      </w:pPr>
      <w:rPr>
        <w:rFonts w:ascii="Courier New" w:hAnsi="Courier New" w:cs="Courier New" w:hint="default"/>
      </w:rPr>
    </w:lvl>
    <w:lvl w:ilvl="2">
      <w:start w:val="1"/>
      <w:numFmt w:val="bullet"/>
      <w:lvlText w:val="o"/>
      <w:lvlJc w:val="left"/>
      <w:pPr>
        <w:tabs>
          <w:tab w:val="num" w:pos="-76"/>
        </w:tabs>
        <w:ind w:left="2084" w:hanging="360"/>
      </w:pPr>
      <w:rPr>
        <w:rFonts w:ascii="Courier New" w:hAnsi="Courier New" w:cs="Courier New" w:hint="default"/>
      </w:rPr>
    </w:lvl>
    <w:lvl w:ilvl="3">
      <w:start w:val="1"/>
      <w:numFmt w:val="bullet"/>
      <w:lvlText w:val="-"/>
      <w:lvlJc w:val="left"/>
      <w:pPr>
        <w:tabs>
          <w:tab w:val="num" w:pos="-76"/>
        </w:tabs>
        <w:ind w:left="2804" w:hanging="360"/>
      </w:pPr>
      <w:rPr>
        <w:rFonts w:ascii="Times" w:hAnsi="Times" w:cs="Times" w:hint="default"/>
      </w:rPr>
    </w:lvl>
    <w:lvl w:ilvl="4">
      <w:start w:val="1"/>
      <w:numFmt w:val="bullet"/>
      <w:lvlText w:val="o"/>
      <w:lvlJc w:val="left"/>
      <w:pPr>
        <w:tabs>
          <w:tab w:val="num" w:pos="-76"/>
        </w:tabs>
        <w:ind w:left="3524" w:hanging="360"/>
      </w:pPr>
      <w:rPr>
        <w:rFonts w:ascii="Courier New" w:hAnsi="Courier New" w:cs="Courier New" w:hint="default"/>
      </w:rPr>
    </w:lvl>
    <w:lvl w:ilvl="5">
      <w:start w:val="1"/>
      <w:numFmt w:val="bullet"/>
      <w:lvlText w:val=""/>
      <w:lvlJc w:val="left"/>
      <w:pPr>
        <w:tabs>
          <w:tab w:val="num" w:pos="-76"/>
        </w:tabs>
        <w:ind w:left="4244" w:hanging="360"/>
      </w:pPr>
      <w:rPr>
        <w:rFonts w:ascii="Wingdings" w:hAnsi="Wingdings" w:cs="Wingdings" w:hint="default"/>
      </w:rPr>
    </w:lvl>
    <w:lvl w:ilvl="6">
      <w:start w:val="1"/>
      <w:numFmt w:val="bullet"/>
      <w:lvlText w:val=""/>
      <w:lvlJc w:val="left"/>
      <w:pPr>
        <w:tabs>
          <w:tab w:val="num" w:pos="-76"/>
        </w:tabs>
        <w:ind w:left="4964" w:hanging="360"/>
      </w:pPr>
      <w:rPr>
        <w:rFonts w:ascii="Symbol" w:hAnsi="Symbol" w:cs="Symbol" w:hint="default"/>
      </w:rPr>
    </w:lvl>
    <w:lvl w:ilvl="7">
      <w:start w:val="1"/>
      <w:numFmt w:val="bullet"/>
      <w:lvlText w:val="o"/>
      <w:lvlJc w:val="left"/>
      <w:pPr>
        <w:tabs>
          <w:tab w:val="num" w:pos="-76"/>
        </w:tabs>
        <w:ind w:left="5684" w:hanging="360"/>
      </w:pPr>
      <w:rPr>
        <w:rFonts w:ascii="Courier New" w:hAnsi="Courier New" w:cs="Courier New" w:hint="default"/>
      </w:rPr>
    </w:lvl>
    <w:lvl w:ilvl="8">
      <w:start w:val="1"/>
      <w:numFmt w:val="bullet"/>
      <w:lvlText w:val=""/>
      <w:lvlJc w:val="left"/>
      <w:pPr>
        <w:tabs>
          <w:tab w:val="num" w:pos="-76"/>
        </w:tabs>
        <w:ind w:left="6404" w:hanging="360"/>
      </w:pPr>
      <w:rPr>
        <w:rFonts w:ascii="Wingdings" w:hAnsi="Wingdings" w:cs="Wingdings" w:hint="default"/>
      </w:rPr>
    </w:lvl>
  </w:abstractNum>
  <w:abstractNum w:abstractNumId="33"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1407C0D"/>
    <w:multiLevelType w:val="hybridMultilevel"/>
    <w:tmpl w:val="43D84C72"/>
    <w:lvl w:ilvl="0" w:tplc="058C12DE">
      <w:start w:val="1"/>
      <w:numFmt w:val="lowerLetter"/>
      <w:lvlText w:val="(%1)"/>
      <w:lvlJc w:val="left"/>
      <w:pPr>
        <w:ind w:left="1780" w:hanging="360"/>
      </w:pPr>
      <w:rPr>
        <w:rFonts w:eastAsia="Malgun Gothic"/>
        <w:sz w:val="20"/>
        <w:szCs w:val="20"/>
      </w:rPr>
    </w:lvl>
    <w:lvl w:ilvl="1" w:tplc="08090019">
      <w:start w:val="1"/>
      <w:numFmt w:val="lowerLetter"/>
      <w:lvlText w:val="%2."/>
      <w:lvlJc w:val="left"/>
      <w:pPr>
        <w:ind w:left="2500" w:hanging="360"/>
      </w:pPr>
    </w:lvl>
    <w:lvl w:ilvl="2" w:tplc="0809001B">
      <w:start w:val="1"/>
      <w:numFmt w:val="lowerRoman"/>
      <w:lvlText w:val="%3."/>
      <w:lvlJc w:val="right"/>
      <w:pPr>
        <w:ind w:left="3220" w:hanging="180"/>
      </w:pPr>
    </w:lvl>
    <w:lvl w:ilvl="3" w:tplc="0809000F">
      <w:start w:val="1"/>
      <w:numFmt w:val="decimal"/>
      <w:lvlText w:val="%4."/>
      <w:lvlJc w:val="left"/>
      <w:pPr>
        <w:ind w:left="3940" w:hanging="360"/>
      </w:pPr>
    </w:lvl>
    <w:lvl w:ilvl="4" w:tplc="08090019">
      <w:start w:val="1"/>
      <w:numFmt w:val="lowerLetter"/>
      <w:lvlText w:val="%5."/>
      <w:lvlJc w:val="left"/>
      <w:pPr>
        <w:ind w:left="4660" w:hanging="360"/>
      </w:pPr>
    </w:lvl>
    <w:lvl w:ilvl="5" w:tplc="0809001B">
      <w:start w:val="1"/>
      <w:numFmt w:val="lowerRoman"/>
      <w:lvlText w:val="%6."/>
      <w:lvlJc w:val="right"/>
      <w:pPr>
        <w:ind w:left="5380" w:hanging="180"/>
      </w:pPr>
    </w:lvl>
    <w:lvl w:ilvl="6" w:tplc="0809000F">
      <w:start w:val="1"/>
      <w:numFmt w:val="decimal"/>
      <w:lvlText w:val="%7."/>
      <w:lvlJc w:val="left"/>
      <w:pPr>
        <w:ind w:left="6100" w:hanging="360"/>
      </w:pPr>
    </w:lvl>
    <w:lvl w:ilvl="7" w:tplc="08090019">
      <w:start w:val="1"/>
      <w:numFmt w:val="lowerLetter"/>
      <w:lvlText w:val="%8."/>
      <w:lvlJc w:val="left"/>
      <w:pPr>
        <w:ind w:left="6820" w:hanging="360"/>
      </w:pPr>
    </w:lvl>
    <w:lvl w:ilvl="8" w:tplc="0809001B">
      <w:start w:val="1"/>
      <w:numFmt w:val="lowerRoman"/>
      <w:lvlText w:val="%9."/>
      <w:lvlJc w:val="right"/>
      <w:pPr>
        <w:ind w:left="7540" w:hanging="180"/>
      </w:pPr>
    </w:lvl>
  </w:abstractNum>
  <w:abstractNum w:abstractNumId="35" w15:restartNumberingAfterBreak="0">
    <w:nsid w:val="439B56BE"/>
    <w:multiLevelType w:val="multilevel"/>
    <w:tmpl w:val="0A18B58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DD82DC4"/>
    <w:multiLevelType w:val="hybridMultilevel"/>
    <w:tmpl w:val="0B121232"/>
    <w:lvl w:ilvl="0" w:tplc="C9FC64F0">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20" w:hanging="360"/>
      </w:pPr>
    </w:lvl>
    <w:lvl w:ilvl="2" w:tplc="0809001B" w:tentative="1">
      <w:start w:val="1"/>
      <w:numFmt w:val="lowerRoman"/>
      <w:lvlText w:val="%3."/>
      <w:lvlJc w:val="right"/>
      <w:pPr>
        <w:ind w:left="740" w:hanging="180"/>
      </w:pPr>
    </w:lvl>
    <w:lvl w:ilvl="3" w:tplc="0809000F" w:tentative="1">
      <w:start w:val="1"/>
      <w:numFmt w:val="decimal"/>
      <w:lvlText w:val="%4."/>
      <w:lvlJc w:val="left"/>
      <w:pPr>
        <w:ind w:left="1460" w:hanging="360"/>
      </w:pPr>
    </w:lvl>
    <w:lvl w:ilvl="4" w:tplc="08090019" w:tentative="1">
      <w:start w:val="1"/>
      <w:numFmt w:val="lowerLetter"/>
      <w:lvlText w:val="%5."/>
      <w:lvlJc w:val="left"/>
      <w:pPr>
        <w:ind w:left="2180" w:hanging="360"/>
      </w:pPr>
    </w:lvl>
    <w:lvl w:ilvl="5" w:tplc="0809001B" w:tentative="1">
      <w:start w:val="1"/>
      <w:numFmt w:val="lowerRoman"/>
      <w:lvlText w:val="%6."/>
      <w:lvlJc w:val="right"/>
      <w:pPr>
        <w:ind w:left="2900" w:hanging="180"/>
      </w:pPr>
    </w:lvl>
    <w:lvl w:ilvl="6" w:tplc="0809000F" w:tentative="1">
      <w:start w:val="1"/>
      <w:numFmt w:val="decimal"/>
      <w:lvlText w:val="%7."/>
      <w:lvlJc w:val="left"/>
      <w:pPr>
        <w:ind w:left="3620" w:hanging="360"/>
      </w:pPr>
    </w:lvl>
    <w:lvl w:ilvl="7" w:tplc="08090019" w:tentative="1">
      <w:start w:val="1"/>
      <w:numFmt w:val="lowerLetter"/>
      <w:lvlText w:val="%8."/>
      <w:lvlJc w:val="left"/>
      <w:pPr>
        <w:ind w:left="4340" w:hanging="360"/>
      </w:pPr>
    </w:lvl>
    <w:lvl w:ilvl="8" w:tplc="0809001B" w:tentative="1">
      <w:start w:val="1"/>
      <w:numFmt w:val="lowerRoman"/>
      <w:lvlText w:val="%9."/>
      <w:lvlJc w:val="right"/>
      <w:pPr>
        <w:ind w:left="5060" w:hanging="180"/>
      </w:pPr>
    </w:lvl>
  </w:abstractNum>
  <w:abstractNum w:abstractNumId="39"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8C133C"/>
    <w:multiLevelType w:val="hybridMultilevel"/>
    <w:tmpl w:val="3904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961126"/>
    <w:multiLevelType w:val="hybridMultilevel"/>
    <w:tmpl w:val="14101730"/>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53E05C4"/>
    <w:multiLevelType w:val="hybridMultilevel"/>
    <w:tmpl w:val="C39CDADC"/>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68B5095"/>
    <w:multiLevelType w:val="hybridMultilevel"/>
    <w:tmpl w:val="F95C092E"/>
    <w:lvl w:ilvl="0" w:tplc="E5C40DB6">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strike w:val="0"/>
        <w:dstrike w:val="0"/>
        <w:color w:val="auto"/>
        <w:sz w:val="21"/>
        <w:szCs w:val="21"/>
        <w:u w:val="none"/>
        <w:effect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strike w:val="0"/>
        <w:dstrike w:val="0"/>
        <w:color w:val="auto"/>
        <w:sz w:val="21"/>
        <w:szCs w:val="21"/>
        <w:u w:val="none"/>
        <w:effect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7" w15:restartNumberingAfterBreak="0">
    <w:nsid w:val="5CF903FC"/>
    <w:multiLevelType w:val="hybridMultilevel"/>
    <w:tmpl w:val="2B1AF27A"/>
    <w:lvl w:ilvl="0" w:tplc="B61495CE">
      <w:start w:val="1"/>
      <w:numFmt w:val="decimal"/>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11119D6"/>
    <w:multiLevelType w:val="multilevel"/>
    <w:tmpl w:val="37A07BB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BE4578C"/>
    <w:multiLevelType w:val="hybridMultilevel"/>
    <w:tmpl w:val="9C26C6FA"/>
    <w:lvl w:ilvl="0" w:tplc="04941BAE">
      <w:start w:val="5"/>
      <w:numFmt w:val="decimal"/>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A3216A"/>
    <w:multiLevelType w:val="hybridMultilevel"/>
    <w:tmpl w:val="B4C8DA10"/>
    <w:lvl w:ilvl="0" w:tplc="3B14DDBC">
      <w:start w:val="1"/>
      <w:numFmt w:val="bullet"/>
      <w:lvlText w:val=""/>
      <w:lvlJc w:val="left"/>
      <w:pPr>
        <w:ind w:left="644" w:hanging="360"/>
      </w:pPr>
      <w:rPr>
        <w:rFonts w:ascii="Symbol" w:hAnsi="Symbol" w:hint="default"/>
        <w:sz w:val="20"/>
        <w:szCs w:val="20"/>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1" w15:restartNumberingAfterBreak="0">
    <w:nsid w:val="700E2946"/>
    <w:multiLevelType w:val="hybridMultilevel"/>
    <w:tmpl w:val="17D00E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6462369"/>
    <w:multiLevelType w:val="hybridMultilevel"/>
    <w:tmpl w:val="7EE6C994"/>
    <w:lvl w:ilvl="0" w:tplc="6C1AA60A">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8D2C70"/>
    <w:multiLevelType w:val="hybridMultilevel"/>
    <w:tmpl w:val="12BC210C"/>
    <w:lvl w:ilvl="0" w:tplc="2C8ED2E8">
      <w:start w:val="4"/>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21"/>
  </w:num>
  <w:num w:numId="2" w16cid:durableId="1150443308">
    <w:abstractNumId w:val="25"/>
  </w:num>
  <w:num w:numId="3" w16cid:durableId="1232157210">
    <w:abstractNumId w:val="2"/>
  </w:num>
  <w:num w:numId="4" w16cid:durableId="801003285">
    <w:abstractNumId w:val="16"/>
  </w:num>
  <w:num w:numId="5" w16cid:durableId="1635720867">
    <w:abstractNumId w:val="7"/>
  </w:num>
  <w:num w:numId="6" w16cid:durableId="13298211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4"/>
  </w:num>
  <w:num w:numId="8" w16cid:durableId="1987780578">
    <w:abstractNumId w:val="10"/>
  </w:num>
  <w:num w:numId="9" w16cid:durableId="1214852150">
    <w:abstractNumId w:val="47"/>
  </w:num>
  <w:num w:numId="10" w16cid:durableId="696389049">
    <w:abstractNumId w:val="14"/>
  </w:num>
  <w:num w:numId="11" w16cid:durableId="12251">
    <w:abstractNumId w:val="5"/>
  </w:num>
  <w:num w:numId="12" w16cid:durableId="12074279">
    <w:abstractNumId w:val="33"/>
  </w:num>
  <w:num w:numId="13" w16cid:durableId="1258441979">
    <w:abstractNumId w:val="29"/>
  </w:num>
  <w:num w:numId="14" w16cid:durableId="769620124">
    <w:abstractNumId w:val="17"/>
  </w:num>
  <w:num w:numId="15" w16cid:durableId="474178274">
    <w:abstractNumId w:val="22"/>
  </w:num>
  <w:num w:numId="16" w16cid:durableId="1080952707">
    <w:abstractNumId w:val="36"/>
  </w:num>
  <w:num w:numId="17" w16cid:durableId="18780822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958343">
    <w:abstractNumId w:val="52"/>
  </w:num>
  <w:num w:numId="19" w16cid:durableId="505444092">
    <w:abstractNumId w:val="54"/>
  </w:num>
  <w:num w:numId="20" w16cid:durableId="134883360">
    <w:abstractNumId w:val="15"/>
  </w:num>
  <w:num w:numId="21" w16cid:durableId="689064483">
    <w:abstractNumId w:val="39"/>
  </w:num>
  <w:num w:numId="22" w16cid:durableId="700252219">
    <w:abstractNumId w:val="36"/>
  </w:num>
  <w:num w:numId="23" w16cid:durableId="1218779670">
    <w:abstractNumId w:val="10"/>
  </w:num>
  <w:num w:numId="24" w16cid:durableId="1173564495">
    <w:abstractNumId w:val="47"/>
  </w:num>
  <w:num w:numId="25" w16cid:durableId="34818464">
    <w:abstractNumId w:val="30"/>
  </w:num>
  <w:num w:numId="26" w16cid:durableId="1506359317">
    <w:abstractNumId w:val="10"/>
  </w:num>
  <w:num w:numId="27" w16cid:durableId="1801998755">
    <w:abstractNumId w:val="36"/>
  </w:num>
  <w:num w:numId="28" w16cid:durableId="934174718">
    <w:abstractNumId w:val="22"/>
  </w:num>
  <w:num w:numId="29" w16cid:durableId="724182814">
    <w:abstractNumId w:val="36"/>
  </w:num>
  <w:num w:numId="30" w16cid:durableId="1327590693">
    <w:abstractNumId w:val="22"/>
  </w:num>
  <w:num w:numId="31" w16cid:durableId="1504130761">
    <w:abstractNumId w:val="3"/>
  </w:num>
  <w:num w:numId="32" w16cid:durableId="1636326376">
    <w:abstractNumId w:val="36"/>
  </w:num>
  <w:num w:numId="33" w16cid:durableId="1864900747">
    <w:abstractNumId w:val="22"/>
  </w:num>
  <w:num w:numId="34" w16cid:durableId="504633119">
    <w:abstractNumId w:val="28"/>
  </w:num>
  <w:num w:numId="35" w16cid:durableId="1008751228">
    <w:abstractNumId w:val="36"/>
  </w:num>
  <w:num w:numId="36" w16cid:durableId="1372613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6485755">
    <w:abstractNumId w:val="36"/>
  </w:num>
  <w:num w:numId="38" w16cid:durableId="182061550">
    <w:abstractNumId w:val="22"/>
  </w:num>
  <w:num w:numId="39" w16cid:durableId="500243669">
    <w:abstractNumId w:val="44"/>
  </w:num>
  <w:num w:numId="40" w16cid:durableId="1434277637">
    <w:abstractNumId w:val="17"/>
  </w:num>
  <w:num w:numId="41" w16cid:durableId="1790707465">
    <w:abstractNumId w:val="8"/>
  </w:num>
  <w:num w:numId="42" w16cid:durableId="178616891">
    <w:abstractNumId w:val="51"/>
  </w:num>
  <w:num w:numId="43" w16cid:durableId="1361932202">
    <w:abstractNumId w:val="19"/>
  </w:num>
  <w:num w:numId="44" w16cid:durableId="974220155">
    <w:abstractNumId w:val="6"/>
  </w:num>
  <w:num w:numId="45" w16cid:durableId="176386154">
    <w:abstractNumId w:val="41"/>
  </w:num>
  <w:num w:numId="46" w16cid:durableId="1399206581">
    <w:abstractNumId w:val="55"/>
  </w:num>
  <w:num w:numId="47" w16cid:durableId="1684549004">
    <w:abstractNumId w:val="9"/>
  </w:num>
  <w:num w:numId="48" w16cid:durableId="823666030">
    <w:abstractNumId w:val="12"/>
  </w:num>
  <w:num w:numId="49" w16cid:durableId="1858544926">
    <w:abstractNumId w:val="12"/>
  </w:num>
  <w:num w:numId="50" w16cid:durableId="629240053">
    <w:abstractNumId w:val="6"/>
  </w:num>
  <w:num w:numId="51" w16cid:durableId="1658457574">
    <w:abstractNumId w:val="43"/>
  </w:num>
  <w:num w:numId="52" w16cid:durableId="2114863516">
    <w:abstractNumId w:val="22"/>
  </w:num>
  <w:num w:numId="53" w16cid:durableId="20751986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50127886">
    <w:abstractNumId w:val="0"/>
  </w:num>
  <w:num w:numId="55" w16cid:durableId="2125687235">
    <w:abstractNumId w:val="27"/>
  </w:num>
  <w:num w:numId="56" w16cid:durableId="1307513283">
    <w:abstractNumId w:val="24"/>
  </w:num>
  <w:num w:numId="57" w16cid:durableId="387219243">
    <w:abstractNumId w:val="35"/>
  </w:num>
  <w:num w:numId="58" w16cid:durableId="1672678895">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21175960">
    <w:abstractNumId w:val="42"/>
  </w:num>
  <w:num w:numId="60" w16cid:durableId="785584437">
    <w:abstractNumId w:val="32"/>
  </w:num>
  <w:num w:numId="61" w16cid:durableId="1366759763">
    <w:abstractNumId w:val="32"/>
  </w:num>
  <w:num w:numId="62" w16cid:durableId="132234587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01454704">
    <w:abstractNumId w:val="20"/>
  </w:num>
  <w:num w:numId="64" w16cid:durableId="1511334348">
    <w:abstractNumId w:val="26"/>
  </w:num>
  <w:num w:numId="65" w16cid:durableId="1486238988">
    <w:abstractNumId w:val="1"/>
  </w:num>
  <w:num w:numId="66" w16cid:durableId="313148611">
    <w:abstractNumId w:val="31"/>
  </w:num>
  <w:num w:numId="67" w16cid:durableId="888110173">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7818649">
    <w:abstractNumId w:val="48"/>
  </w:num>
  <w:num w:numId="69" w16cid:durableId="58555663">
    <w:abstractNumId w:val="36"/>
  </w:num>
  <w:num w:numId="70" w16cid:durableId="10442081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33677003">
    <w:abstractNumId w:val="48"/>
  </w:num>
  <w:num w:numId="72" w16cid:durableId="1981492207">
    <w:abstractNumId w:val="23"/>
  </w:num>
  <w:num w:numId="73" w16cid:durableId="1882478744">
    <w:abstractNumId w:val="19"/>
  </w:num>
  <w:num w:numId="74" w16cid:durableId="279607321">
    <w:abstractNumId w:val="6"/>
  </w:num>
  <w:num w:numId="75" w16cid:durableId="1343242361">
    <w:abstractNumId w:val="13"/>
  </w:num>
  <w:num w:numId="76" w16cid:durableId="399404982">
    <w:abstractNumId w:val="49"/>
  </w:num>
  <w:num w:numId="77" w16cid:durableId="134744393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94035711">
    <w:abstractNumId w:val="53"/>
  </w:num>
  <w:num w:numId="79" w16cid:durableId="518155804">
    <w:abstractNumId w:val="19"/>
  </w:num>
  <w:num w:numId="80" w16cid:durableId="794955878">
    <w:abstractNumId w:val="40"/>
  </w:num>
  <w:num w:numId="81" w16cid:durableId="1171145453">
    <w:abstractNumId w:val="22"/>
    <w:lvlOverride w:ilvl="0"/>
    <w:lvlOverride w:ilvl="1"/>
    <w:lvlOverride w:ilvl="2"/>
    <w:lvlOverride w:ilvl="3"/>
    <w:lvlOverride w:ilvl="4"/>
    <w:lvlOverride w:ilvl="5"/>
    <w:lvlOverride w:ilvl="6"/>
    <w:lvlOverride w:ilvl="7"/>
    <w:lvlOverride w:ilvl="8"/>
  </w:num>
  <w:num w:numId="82" w16cid:durableId="860776931">
    <w:abstractNumId w:val="50"/>
    <w:lvlOverride w:ilvl="0"/>
    <w:lvlOverride w:ilvl="1"/>
    <w:lvlOverride w:ilvl="2"/>
    <w:lvlOverride w:ilvl="3"/>
    <w:lvlOverride w:ilvl="4"/>
    <w:lvlOverride w:ilvl="5"/>
    <w:lvlOverride w:ilvl="6"/>
    <w:lvlOverride w:ilvl="7"/>
    <w:lvlOverride w:ilvl="8"/>
  </w:num>
  <w:num w:numId="83" w16cid:durableId="10622877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82891510">
    <w:abstractNumId w:val="45"/>
    <w:lvlOverride w:ilvl="0"/>
    <w:lvlOverride w:ilvl="1"/>
    <w:lvlOverride w:ilvl="2"/>
    <w:lvlOverride w:ilvl="3"/>
    <w:lvlOverride w:ilvl="4"/>
    <w:lvlOverride w:ilvl="5"/>
    <w:lvlOverride w:ilvl="6"/>
    <w:lvlOverride w:ilvl="7"/>
    <w:lvlOverride w:ilvl="8"/>
  </w:num>
  <w:num w:numId="85" w16cid:durableId="21155193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07306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93625675">
    <w:abstractNumId w:val="18"/>
  </w:num>
  <w:num w:numId="88" w16cid:durableId="442502986">
    <w:abstractNumId w:val="11"/>
  </w:num>
  <w:num w:numId="89" w16cid:durableId="1770078891">
    <w:abstractNumId w:val="38"/>
  </w:num>
  <w:num w:numId="90" w16cid:durableId="17802979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39665267">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1CF"/>
    <w:rsid w:val="0000159F"/>
    <w:rsid w:val="000017C6"/>
    <w:rsid w:val="00001F0C"/>
    <w:rsid w:val="00003050"/>
    <w:rsid w:val="00003A5B"/>
    <w:rsid w:val="00003E20"/>
    <w:rsid w:val="0000406E"/>
    <w:rsid w:val="00004103"/>
    <w:rsid w:val="00004613"/>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0FA"/>
    <w:rsid w:val="00011284"/>
    <w:rsid w:val="00011BB2"/>
    <w:rsid w:val="00011C62"/>
    <w:rsid w:val="00011D4E"/>
    <w:rsid w:val="000124E7"/>
    <w:rsid w:val="00012505"/>
    <w:rsid w:val="00012685"/>
    <w:rsid w:val="00012804"/>
    <w:rsid w:val="00012C4F"/>
    <w:rsid w:val="000131D1"/>
    <w:rsid w:val="00013455"/>
    <w:rsid w:val="000134E3"/>
    <w:rsid w:val="00013632"/>
    <w:rsid w:val="00013C0B"/>
    <w:rsid w:val="00013E86"/>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1E5"/>
    <w:rsid w:val="00025A38"/>
    <w:rsid w:val="00025EB5"/>
    <w:rsid w:val="00026496"/>
    <w:rsid w:val="000264A9"/>
    <w:rsid w:val="0002681F"/>
    <w:rsid w:val="00026C65"/>
    <w:rsid w:val="0002748E"/>
    <w:rsid w:val="00027630"/>
    <w:rsid w:val="00027755"/>
    <w:rsid w:val="00027864"/>
    <w:rsid w:val="0002789E"/>
    <w:rsid w:val="00027A33"/>
    <w:rsid w:val="00027A4B"/>
    <w:rsid w:val="00030048"/>
    <w:rsid w:val="0003072D"/>
    <w:rsid w:val="000309F7"/>
    <w:rsid w:val="00030A57"/>
    <w:rsid w:val="00031122"/>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05"/>
    <w:rsid w:val="00036C26"/>
    <w:rsid w:val="00036F83"/>
    <w:rsid w:val="0003767C"/>
    <w:rsid w:val="00040418"/>
    <w:rsid w:val="000409D8"/>
    <w:rsid w:val="00040A4F"/>
    <w:rsid w:val="00040D78"/>
    <w:rsid w:val="00040EF9"/>
    <w:rsid w:val="00040F4F"/>
    <w:rsid w:val="0004132D"/>
    <w:rsid w:val="00041531"/>
    <w:rsid w:val="00041C9D"/>
    <w:rsid w:val="00042296"/>
    <w:rsid w:val="000426F5"/>
    <w:rsid w:val="00042ABD"/>
    <w:rsid w:val="0004301D"/>
    <w:rsid w:val="000439EA"/>
    <w:rsid w:val="00043CFC"/>
    <w:rsid w:val="00043F7C"/>
    <w:rsid w:val="00044CFA"/>
    <w:rsid w:val="00044D58"/>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1E00"/>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068"/>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26AB"/>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33C"/>
    <w:rsid w:val="0007266D"/>
    <w:rsid w:val="00072BBA"/>
    <w:rsid w:val="00072FF5"/>
    <w:rsid w:val="000730DC"/>
    <w:rsid w:val="00073886"/>
    <w:rsid w:val="00073989"/>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BD6"/>
    <w:rsid w:val="00077C0A"/>
    <w:rsid w:val="00080B10"/>
    <w:rsid w:val="00081382"/>
    <w:rsid w:val="00081716"/>
    <w:rsid w:val="0008193C"/>
    <w:rsid w:val="00081EC2"/>
    <w:rsid w:val="00082154"/>
    <w:rsid w:val="00082D48"/>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84E"/>
    <w:rsid w:val="00087958"/>
    <w:rsid w:val="00087FA3"/>
    <w:rsid w:val="0009028E"/>
    <w:rsid w:val="000902C2"/>
    <w:rsid w:val="0009063D"/>
    <w:rsid w:val="0009071D"/>
    <w:rsid w:val="000910F5"/>
    <w:rsid w:val="000912EB"/>
    <w:rsid w:val="000915AE"/>
    <w:rsid w:val="000915F5"/>
    <w:rsid w:val="00091759"/>
    <w:rsid w:val="00091A92"/>
    <w:rsid w:val="00091C51"/>
    <w:rsid w:val="00091C7C"/>
    <w:rsid w:val="0009227D"/>
    <w:rsid w:val="00092DDC"/>
    <w:rsid w:val="00093C49"/>
    <w:rsid w:val="00093CAA"/>
    <w:rsid w:val="00093E57"/>
    <w:rsid w:val="000950BC"/>
    <w:rsid w:val="0009540E"/>
    <w:rsid w:val="00095872"/>
    <w:rsid w:val="00095A80"/>
    <w:rsid w:val="00095ABD"/>
    <w:rsid w:val="00095EE3"/>
    <w:rsid w:val="00095F8E"/>
    <w:rsid w:val="000967D2"/>
    <w:rsid w:val="00096D62"/>
    <w:rsid w:val="00097377"/>
    <w:rsid w:val="000973E1"/>
    <w:rsid w:val="000A008C"/>
    <w:rsid w:val="000A0254"/>
    <w:rsid w:val="000A030C"/>
    <w:rsid w:val="000A0A0D"/>
    <w:rsid w:val="000A0CE4"/>
    <w:rsid w:val="000A0D26"/>
    <w:rsid w:val="000A1402"/>
    <w:rsid w:val="000A18F8"/>
    <w:rsid w:val="000A20BA"/>
    <w:rsid w:val="000A218D"/>
    <w:rsid w:val="000A262C"/>
    <w:rsid w:val="000A2786"/>
    <w:rsid w:val="000A27C5"/>
    <w:rsid w:val="000A3200"/>
    <w:rsid w:val="000A3296"/>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10A"/>
    <w:rsid w:val="000B13E1"/>
    <w:rsid w:val="000B1480"/>
    <w:rsid w:val="000B16DB"/>
    <w:rsid w:val="000B1766"/>
    <w:rsid w:val="000B19AC"/>
    <w:rsid w:val="000B1C5E"/>
    <w:rsid w:val="000B1E00"/>
    <w:rsid w:val="000B1E67"/>
    <w:rsid w:val="000B2244"/>
    <w:rsid w:val="000B2282"/>
    <w:rsid w:val="000B2697"/>
    <w:rsid w:val="000B27E9"/>
    <w:rsid w:val="000B2A11"/>
    <w:rsid w:val="000B2A5B"/>
    <w:rsid w:val="000B2FE4"/>
    <w:rsid w:val="000B317F"/>
    <w:rsid w:val="000B31C7"/>
    <w:rsid w:val="000B3B91"/>
    <w:rsid w:val="000B3D0F"/>
    <w:rsid w:val="000B3D9B"/>
    <w:rsid w:val="000B4207"/>
    <w:rsid w:val="000B425D"/>
    <w:rsid w:val="000B489A"/>
    <w:rsid w:val="000B4B1B"/>
    <w:rsid w:val="000B4C67"/>
    <w:rsid w:val="000B50C3"/>
    <w:rsid w:val="000B5483"/>
    <w:rsid w:val="000B555A"/>
    <w:rsid w:val="000B55DB"/>
    <w:rsid w:val="000B5661"/>
    <w:rsid w:val="000B58AC"/>
    <w:rsid w:val="000B5AC9"/>
    <w:rsid w:val="000B5DB9"/>
    <w:rsid w:val="000B5F0A"/>
    <w:rsid w:val="000B61FB"/>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38B7"/>
    <w:rsid w:val="000C4436"/>
    <w:rsid w:val="000C4655"/>
    <w:rsid w:val="000C4E10"/>
    <w:rsid w:val="000C501D"/>
    <w:rsid w:val="000C5744"/>
    <w:rsid w:val="000C5B5B"/>
    <w:rsid w:val="000C5CB5"/>
    <w:rsid w:val="000C5CBA"/>
    <w:rsid w:val="000C5D82"/>
    <w:rsid w:val="000C5F43"/>
    <w:rsid w:val="000C5FA9"/>
    <w:rsid w:val="000C60DE"/>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A5F"/>
    <w:rsid w:val="000D5EAF"/>
    <w:rsid w:val="000D6228"/>
    <w:rsid w:val="000D693D"/>
    <w:rsid w:val="000D6B82"/>
    <w:rsid w:val="000D76BC"/>
    <w:rsid w:val="000D7750"/>
    <w:rsid w:val="000D7ED8"/>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5F95"/>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4D3"/>
    <w:rsid w:val="000F7500"/>
    <w:rsid w:val="000F750D"/>
    <w:rsid w:val="000F785F"/>
    <w:rsid w:val="000F7974"/>
    <w:rsid w:val="00100042"/>
    <w:rsid w:val="001006B5"/>
    <w:rsid w:val="00100B14"/>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1E23"/>
    <w:rsid w:val="00112192"/>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4F5D"/>
    <w:rsid w:val="0012518A"/>
    <w:rsid w:val="00126599"/>
    <w:rsid w:val="0012673D"/>
    <w:rsid w:val="001269B8"/>
    <w:rsid w:val="00126BE1"/>
    <w:rsid w:val="00127099"/>
    <w:rsid w:val="001273FA"/>
    <w:rsid w:val="0012793A"/>
    <w:rsid w:val="00127956"/>
    <w:rsid w:val="00130313"/>
    <w:rsid w:val="00130594"/>
    <w:rsid w:val="0013088B"/>
    <w:rsid w:val="00131D69"/>
    <w:rsid w:val="00132247"/>
    <w:rsid w:val="001325DC"/>
    <w:rsid w:val="0013268D"/>
    <w:rsid w:val="00132830"/>
    <w:rsid w:val="00132B71"/>
    <w:rsid w:val="00132B7F"/>
    <w:rsid w:val="001333F7"/>
    <w:rsid w:val="001337A5"/>
    <w:rsid w:val="00133B69"/>
    <w:rsid w:val="00134185"/>
    <w:rsid w:val="0013427A"/>
    <w:rsid w:val="00134578"/>
    <w:rsid w:val="001348FE"/>
    <w:rsid w:val="00134B36"/>
    <w:rsid w:val="00134D55"/>
    <w:rsid w:val="00135317"/>
    <w:rsid w:val="00135E77"/>
    <w:rsid w:val="00135F21"/>
    <w:rsid w:val="0013606B"/>
    <w:rsid w:val="001360F3"/>
    <w:rsid w:val="001362C2"/>
    <w:rsid w:val="001365F8"/>
    <w:rsid w:val="0013678C"/>
    <w:rsid w:val="00136955"/>
    <w:rsid w:val="00136E19"/>
    <w:rsid w:val="001371B2"/>
    <w:rsid w:val="00137860"/>
    <w:rsid w:val="00137AB9"/>
    <w:rsid w:val="00137D78"/>
    <w:rsid w:val="0014060C"/>
    <w:rsid w:val="00140645"/>
    <w:rsid w:val="001409A0"/>
    <w:rsid w:val="0014109C"/>
    <w:rsid w:val="0014123B"/>
    <w:rsid w:val="001416C7"/>
    <w:rsid w:val="001419D0"/>
    <w:rsid w:val="00141D5E"/>
    <w:rsid w:val="00141E40"/>
    <w:rsid w:val="00141F08"/>
    <w:rsid w:val="00141FF2"/>
    <w:rsid w:val="00142082"/>
    <w:rsid w:val="001424A1"/>
    <w:rsid w:val="0014287A"/>
    <w:rsid w:val="00142DE2"/>
    <w:rsid w:val="00142FFF"/>
    <w:rsid w:val="00144996"/>
    <w:rsid w:val="00144C87"/>
    <w:rsid w:val="0014595D"/>
    <w:rsid w:val="00146264"/>
    <w:rsid w:val="00146283"/>
    <w:rsid w:val="0014659B"/>
    <w:rsid w:val="001467B1"/>
    <w:rsid w:val="00146A0B"/>
    <w:rsid w:val="00146A0F"/>
    <w:rsid w:val="00147175"/>
    <w:rsid w:val="0014726E"/>
    <w:rsid w:val="001477AF"/>
    <w:rsid w:val="001477EA"/>
    <w:rsid w:val="00147B13"/>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2FFE"/>
    <w:rsid w:val="001532B3"/>
    <w:rsid w:val="001532BA"/>
    <w:rsid w:val="001538BC"/>
    <w:rsid w:val="00153FED"/>
    <w:rsid w:val="001540D0"/>
    <w:rsid w:val="0015458E"/>
    <w:rsid w:val="0015475A"/>
    <w:rsid w:val="0015521D"/>
    <w:rsid w:val="00155288"/>
    <w:rsid w:val="0015559C"/>
    <w:rsid w:val="001558F9"/>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C4B"/>
    <w:rsid w:val="00165D5C"/>
    <w:rsid w:val="0016642B"/>
    <w:rsid w:val="001665EB"/>
    <w:rsid w:val="001670EA"/>
    <w:rsid w:val="001674A0"/>
    <w:rsid w:val="001679CD"/>
    <w:rsid w:val="00167AA8"/>
    <w:rsid w:val="00167E6E"/>
    <w:rsid w:val="001705DD"/>
    <w:rsid w:val="00170A50"/>
    <w:rsid w:val="00171CFB"/>
    <w:rsid w:val="00172A1E"/>
    <w:rsid w:val="00172BE6"/>
    <w:rsid w:val="00172CAA"/>
    <w:rsid w:val="00172EC5"/>
    <w:rsid w:val="00172F81"/>
    <w:rsid w:val="00172FB4"/>
    <w:rsid w:val="00173904"/>
    <w:rsid w:val="00173D9A"/>
    <w:rsid w:val="00173F41"/>
    <w:rsid w:val="00173FA0"/>
    <w:rsid w:val="0017477B"/>
    <w:rsid w:val="00174BC3"/>
    <w:rsid w:val="00174D3F"/>
    <w:rsid w:val="00174DC9"/>
    <w:rsid w:val="00174E67"/>
    <w:rsid w:val="00174FFD"/>
    <w:rsid w:val="001759CA"/>
    <w:rsid w:val="00175CE6"/>
    <w:rsid w:val="001764DB"/>
    <w:rsid w:val="00176510"/>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9"/>
    <w:rsid w:val="00181CEA"/>
    <w:rsid w:val="00182126"/>
    <w:rsid w:val="001821DE"/>
    <w:rsid w:val="00182725"/>
    <w:rsid w:val="001828E0"/>
    <w:rsid w:val="001829C8"/>
    <w:rsid w:val="001829D2"/>
    <w:rsid w:val="00182CE7"/>
    <w:rsid w:val="0018394E"/>
    <w:rsid w:val="00183F96"/>
    <w:rsid w:val="00184282"/>
    <w:rsid w:val="00184EF4"/>
    <w:rsid w:val="0018560B"/>
    <w:rsid w:val="001858F5"/>
    <w:rsid w:val="00185AFA"/>
    <w:rsid w:val="00186315"/>
    <w:rsid w:val="00186572"/>
    <w:rsid w:val="00186904"/>
    <w:rsid w:val="00186B0A"/>
    <w:rsid w:val="001876BF"/>
    <w:rsid w:val="00187859"/>
    <w:rsid w:val="00187BB9"/>
    <w:rsid w:val="00190330"/>
    <w:rsid w:val="001905BD"/>
    <w:rsid w:val="001907F1"/>
    <w:rsid w:val="00190BC9"/>
    <w:rsid w:val="00190BF0"/>
    <w:rsid w:val="00191636"/>
    <w:rsid w:val="00191961"/>
    <w:rsid w:val="00191B6D"/>
    <w:rsid w:val="00191D70"/>
    <w:rsid w:val="00191E79"/>
    <w:rsid w:val="00191E87"/>
    <w:rsid w:val="00192D8E"/>
    <w:rsid w:val="00192FE6"/>
    <w:rsid w:val="00193243"/>
    <w:rsid w:val="0019360B"/>
    <w:rsid w:val="00193790"/>
    <w:rsid w:val="00193922"/>
    <w:rsid w:val="00193986"/>
    <w:rsid w:val="00193B08"/>
    <w:rsid w:val="0019450B"/>
    <w:rsid w:val="00194518"/>
    <w:rsid w:val="00194570"/>
    <w:rsid w:val="00194B0A"/>
    <w:rsid w:val="0019511C"/>
    <w:rsid w:val="00196A22"/>
    <w:rsid w:val="00196AA5"/>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291E"/>
    <w:rsid w:val="001A3887"/>
    <w:rsid w:val="001A3C2C"/>
    <w:rsid w:val="001A44EF"/>
    <w:rsid w:val="001A46BD"/>
    <w:rsid w:val="001A53B4"/>
    <w:rsid w:val="001A5510"/>
    <w:rsid w:val="001A5C7B"/>
    <w:rsid w:val="001A5CB6"/>
    <w:rsid w:val="001A5E19"/>
    <w:rsid w:val="001A608B"/>
    <w:rsid w:val="001A6157"/>
    <w:rsid w:val="001A61E2"/>
    <w:rsid w:val="001A63D8"/>
    <w:rsid w:val="001A6576"/>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B7E7F"/>
    <w:rsid w:val="001C0674"/>
    <w:rsid w:val="001C1405"/>
    <w:rsid w:val="001C1460"/>
    <w:rsid w:val="001C1595"/>
    <w:rsid w:val="001C1628"/>
    <w:rsid w:val="001C1B93"/>
    <w:rsid w:val="001C226F"/>
    <w:rsid w:val="001C254C"/>
    <w:rsid w:val="001C2928"/>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D74"/>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6EEE"/>
    <w:rsid w:val="001D753C"/>
    <w:rsid w:val="001D769B"/>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9A6"/>
    <w:rsid w:val="001F2B3E"/>
    <w:rsid w:val="001F32E0"/>
    <w:rsid w:val="001F34DA"/>
    <w:rsid w:val="001F3FF7"/>
    <w:rsid w:val="001F40FE"/>
    <w:rsid w:val="001F423D"/>
    <w:rsid w:val="001F42A3"/>
    <w:rsid w:val="001F4D68"/>
    <w:rsid w:val="001F4DAC"/>
    <w:rsid w:val="001F5019"/>
    <w:rsid w:val="001F51C5"/>
    <w:rsid w:val="001F5ECB"/>
    <w:rsid w:val="001F5F47"/>
    <w:rsid w:val="001F65B0"/>
    <w:rsid w:val="001F67AA"/>
    <w:rsid w:val="001F6AFD"/>
    <w:rsid w:val="001F738D"/>
    <w:rsid w:val="001F7599"/>
    <w:rsid w:val="001F7908"/>
    <w:rsid w:val="00200457"/>
    <w:rsid w:val="0020080D"/>
    <w:rsid w:val="00201B0F"/>
    <w:rsid w:val="00202DA2"/>
    <w:rsid w:val="002034CD"/>
    <w:rsid w:val="00204A2A"/>
    <w:rsid w:val="00204B22"/>
    <w:rsid w:val="00204B3A"/>
    <w:rsid w:val="00204FFE"/>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2CD"/>
    <w:rsid w:val="002154C2"/>
    <w:rsid w:val="0021593E"/>
    <w:rsid w:val="00215AAA"/>
    <w:rsid w:val="00215EB8"/>
    <w:rsid w:val="00215F73"/>
    <w:rsid w:val="002166F0"/>
    <w:rsid w:val="0021683C"/>
    <w:rsid w:val="00216962"/>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6D4"/>
    <w:rsid w:val="0022687C"/>
    <w:rsid w:val="002268A7"/>
    <w:rsid w:val="00226E2D"/>
    <w:rsid w:val="0022732F"/>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D69"/>
    <w:rsid w:val="00235F7C"/>
    <w:rsid w:val="00236065"/>
    <w:rsid w:val="00236223"/>
    <w:rsid w:val="00236450"/>
    <w:rsid w:val="002365AA"/>
    <w:rsid w:val="002375D1"/>
    <w:rsid w:val="0023765A"/>
    <w:rsid w:val="00237921"/>
    <w:rsid w:val="00237C1E"/>
    <w:rsid w:val="00240342"/>
    <w:rsid w:val="0024044A"/>
    <w:rsid w:val="00240494"/>
    <w:rsid w:val="0024076B"/>
    <w:rsid w:val="002407C3"/>
    <w:rsid w:val="002407C4"/>
    <w:rsid w:val="00241311"/>
    <w:rsid w:val="00241316"/>
    <w:rsid w:val="002418BE"/>
    <w:rsid w:val="002418E8"/>
    <w:rsid w:val="00241ED1"/>
    <w:rsid w:val="00242E22"/>
    <w:rsid w:val="00242FCC"/>
    <w:rsid w:val="0024336B"/>
    <w:rsid w:val="00243389"/>
    <w:rsid w:val="002439F0"/>
    <w:rsid w:val="00243C26"/>
    <w:rsid w:val="00244194"/>
    <w:rsid w:val="0024424F"/>
    <w:rsid w:val="00244404"/>
    <w:rsid w:val="00244D28"/>
    <w:rsid w:val="0024500B"/>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19"/>
    <w:rsid w:val="00254125"/>
    <w:rsid w:val="00254349"/>
    <w:rsid w:val="002551BD"/>
    <w:rsid w:val="002557DD"/>
    <w:rsid w:val="00255B82"/>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7C3"/>
    <w:rsid w:val="00262BD3"/>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0858"/>
    <w:rsid w:val="00271589"/>
    <w:rsid w:val="00272BD9"/>
    <w:rsid w:val="0027314F"/>
    <w:rsid w:val="00273177"/>
    <w:rsid w:val="0027343E"/>
    <w:rsid w:val="002735EC"/>
    <w:rsid w:val="00273891"/>
    <w:rsid w:val="0027420E"/>
    <w:rsid w:val="0027455B"/>
    <w:rsid w:val="00274801"/>
    <w:rsid w:val="00275074"/>
    <w:rsid w:val="002754F5"/>
    <w:rsid w:val="002761E3"/>
    <w:rsid w:val="00276249"/>
    <w:rsid w:val="002763E9"/>
    <w:rsid w:val="00276655"/>
    <w:rsid w:val="00276700"/>
    <w:rsid w:val="00276736"/>
    <w:rsid w:val="00276F4E"/>
    <w:rsid w:val="00276F8E"/>
    <w:rsid w:val="00277130"/>
    <w:rsid w:val="0027728A"/>
    <w:rsid w:val="002774A0"/>
    <w:rsid w:val="0027773D"/>
    <w:rsid w:val="00277790"/>
    <w:rsid w:val="00277814"/>
    <w:rsid w:val="002778BD"/>
    <w:rsid w:val="002807F3"/>
    <w:rsid w:val="002808E1"/>
    <w:rsid w:val="00280B7B"/>
    <w:rsid w:val="00280C44"/>
    <w:rsid w:val="00280D1C"/>
    <w:rsid w:val="00280E30"/>
    <w:rsid w:val="00281361"/>
    <w:rsid w:val="0028138D"/>
    <w:rsid w:val="002815BF"/>
    <w:rsid w:val="002815FA"/>
    <w:rsid w:val="002819A5"/>
    <w:rsid w:val="00281EF5"/>
    <w:rsid w:val="002823D5"/>
    <w:rsid w:val="002824C2"/>
    <w:rsid w:val="00282B2C"/>
    <w:rsid w:val="00282BA9"/>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1F99"/>
    <w:rsid w:val="00292072"/>
    <w:rsid w:val="00292399"/>
    <w:rsid w:val="002928E4"/>
    <w:rsid w:val="00292A28"/>
    <w:rsid w:val="00292B11"/>
    <w:rsid w:val="002932C8"/>
    <w:rsid w:val="00293436"/>
    <w:rsid w:val="0029369F"/>
    <w:rsid w:val="002942C8"/>
    <w:rsid w:val="00294445"/>
    <w:rsid w:val="00294B4D"/>
    <w:rsid w:val="0029537E"/>
    <w:rsid w:val="002956A8"/>
    <w:rsid w:val="002960D5"/>
    <w:rsid w:val="00296DA6"/>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4DF"/>
    <w:rsid w:val="002A352A"/>
    <w:rsid w:val="002A4156"/>
    <w:rsid w:val="002A47F7"/>
    <w:rsid w:val="002A48C4"/>
    <w:rsid w:val="002A48E7"/>
    <w:rsid w:val="002A5FF5"/>
    <w:rsid w:val="002A601A"/>
    <w:rsid w:val="002A607D"/>
    <w:rsid w:val="002A6082"/>
    <w:rsid w:val="002A64A7"/>
    <w:rsid w:val="002A6622"/>
    <w:rsid w:val="002A7C1C"/>
    <w:rsid w:val="002B05CB"/>
    <w:rsid w:val="002B0636"/>
    <w:rsid w:val="002B09EA"/>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B7CCC"/>
    <w:rsid w:val="002C0B98"/>
    <w:rsid w:val="002C0C4B"/>
    <w:rsid w:val="002C10AD"/>
    <w:rsid w:val="002C1577"/>
    <w:rsid w:val="002C1701"/>
    <w:rsid w:val="002C1EEA"/>
    <w:rsid w:val="002C23FA"/>
    <w:rsid w:val="002C2823"/>
    <w:rsid w:val="002C379A"/>
    <w:rsid w:val="002C3EC5"/>
    <w:rsid w:val="002C3F60"/>
    <w:rsid w:val="002C418C"/>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797"/>
    <w:rsid w:val="002D08BC"/>
    <w:rsid w:val="002D0A5F"/>
    <w:rsid w:val="002D0BC6"/>
    <w:rsid w:val="002D0D9C"/>
    <w:rsid w:val="002D12DB"/>
    <w:rsid w:val="002D17C5"/>
    <w:rsid w:val="002D1EE2"/>
    <w:rsid w:val="002D1F0B"/>
    <w:rsid w:val="002D2445"/>
    <w:rsid w:val="002D2590"/>
    <w:rsid w:val="002D2921"/>
    <w:rsid w:val="002D33DC"/>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699"/>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925"/>
    <w:rsid w:val="002E3BE7"/>
    <w:rsid w:val="002E49DC"/>
    <w:rsid w:val="002E4A37"/>
    <w:rsid w:val="002E4AAC"/>
    <w:rsid w:val="002E4AFC"/>
    <w:rsid w:val="002E4C26"/>
    <w:rsid w:val="002E4D22"/>
    <w:rsid w:val="002E53DE"/>
    <w:rsid w:val="002E563B"/>
    <w:rsid w:val="002E5CFA"/>
    <w:rsid w:val="002E6155"/>
    <w:rsid w:val="002E62D2"/>
    <w:rsid w:val="002E734F"/>
    <w:rsid w:val="002E746D"/>
    <w:rsid w:val="002E74AF"/>
    <w:rsid w:val="002E758C"/>
    <w:rsid w:val="002E7B02"/>
    <w:rsid w:val="002E7D75"/>
    <w:rsid w:val="002F0713"/>
    <w:rsid w:val="002F0C0C"/>
    <w:rsid w:val="002F0DB9"/>
    <w:rsid w:val="002F1038"/>
    <w:rsid w:val="002F158F"/>
    <w:rsid w:val="002F2271"/>
    <w:rsid w:val="002F22FF"/>
    <w:rsid w:val="002F28AA"/>
    <w:rsid w:val="002F2CAA"/>
    <w:rsid w:val="002F2D8F"/>
    <w:rsid w:val="002F2FF0"/>
    <w:rsid w:val="002F31A2"/>
    <w:rsid w:val="002F327E"/>
    <w:rsid w:val="002F3C1C"/>
    <w:rsid w:val="002F3D68"/>
    <w:rsid w:val="002F3EC0"/>
    <w:rsid w:val="002F3FAC"/>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0F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129"/>
    <w:rsid w:val="003062E6"/>
    <w:rsid w:val="0030662D"/>
    <w:rsid w:val="003068B6"/>
    <w:rsid w:val="003071F6"/>
    <w:rsid w:val="00307210"/>
    <w:rsid w:val="00307FE0"/>
    <w:rsid w:val="003101EC"/>
    <w:rsid w:val="00310245"/>
    <w:rsid w:val="00310249"/>
    <w:rsid w:val="00310497"/>
    <w:rsid w:val="0031049E"/>
    <w:rsid w:val="003107EB"/>
    <w:rsid w:val="00310B4A"/>
    <w:rsid w:val="00310E66"/>
    <w:rsid w:val="00310F0E"/>
    <w:rsid w:val="003110EE"/>
    <w:rsid w:val="003115D7"/>
    <w:rsid w:val="003116A3"/>
    <w:rsid w:val="003119D3"/>
    <w:rsid w:val="00311C08"/>
    <w:rsid w:val="00312565"/>
    <w:rsid w:val="003125E0"/>
    <w:rsid w:val="00312ECE"/>
    <w:rsid w:val="0031393C"/>
    <w:rsid w:val="00313CB0"/>
    <w:rsid w:val="00313D93"/>
    <w:rsid w:val="00313F96"/>
    <w:rsid w:val="0031421E"/>
    <w:rsid w:val="003142FB"/>
    <w:rsid w:val="00314418"/>
    <w:rsid w:val="00314820"/>
    <w:rsid w:val="00314A11"/>
    <w:rsid w:val="00314B0A"/>
    <w:rsid w:val="0031506C"/>
    <w:rsid w:val="003150A4"/>
    <w:rsid w:val="003150CE"/>
    <w:rsid w:val="00315180"/>
    <w:rsid w:val="003154F7"/>
    <w:rsid w:val="00315AAB"/>
    <w:rsid w:val="00315C19"/>
    <w:rsid w:val="0031710E"/>
    <w:rsid w:val="003173EE"/>
    <w:rsid w:val="003175E1"/>
    <w:rsid w:val="003179B0"/>
    <w:rsid w:val="00320223"/>
    <w:rsid w:val="00320299"/>
    <w:rsid w:val="003204DF"/>
    <w:rsid w:val="003206A4"/>
    <w:rsid w:val="00321154"/>
    <w:rsid w:val="003211B0"/>
    <w:rsid w:val="00321987"/>
    <w:rsid w:val="00321EDA"/>
    <w:rsid w:val="003224AA"/>
    <w:rsid w:val="003224E7"/>
    <w:rsid w:val="00322597"/>
    <w:rsid w:val="00322BA8"/>
    <w:rsid w:val="0032300A"/>
    <w:rsid w:val="003232DA"/>
    <w:rsid w:val="00323F3F"/>
    <w:rsid w:val="00324628"/>
    <w:rsid w:val="00325132"/>
    <w:rsid w:val="00325336"/>
    <w:rsid w:val="00325D7A"/>
    <w:rsid w:val="00325E06"/>
    <w:rsid w:val="00326145"/>
    <w:rsid w:val="0032616A"/>
    <w:rsid w:val="0032651C"/>
    <w:rsid w:val="00326984"/>
    <w:rsid w:val="00326B21"/>
    <w:rsid w:val="00327163"/>
    <w:rsid w:val="00327305"/>
    <w:rsid w:val="00327531"/>
    <w:rsid w:val="003275D2"/>
    <w:rsid w:val="003276CC"/>
    <w:rsid w:val="00327E9C"/>
    <w:rsid w:val="00330183"/>
    <w:rsid w:val="00330187"/>
    <w:rsid w:val="00330247"/>
    <w:rsid w:val="0033097F"/>
    <w:rsid w:val="003309E4"/>
    <w:rsid w:val="00331C77"/>
    <w:rsid w:val="00331C9F"/>
    <w:rsid w:val="00331DB6"/>
    <w:rsid w:val="00331F96"/>
    <w:rsid w:val="00332002"/>
    <w:rsid w:val="0033228D"/>
    <w:rsid w:val="0033262B"/>
    <w:rsid w:val="003327F8"/>
    <w:rsid w:val="00332A2B"/>
    <w:rsid w:val="00332B55"/>
    <w:rsid w:val="00332E52"/>
    <w:rsid w:val="003336B9"/>
    <w:rsid w:val="0033371E"/>
    <w:rsid w:val="00333BA5"/>
    <w:rsid w:val="0033476C"/>
    <w:rsid w:val="003348E0"/>
    <w:rsid w:val="00334C22"/>
    <w:rsid w:val="00334DD8"/>
    <w:rsid w:val="00334FF1"/>
    <w:rsid w:val="00335006"/>
    <w:rsid w:val="00335069"/>
    <w:rsid w:val="00335078"/>
    <w:rsid w:val="00335630"/>
    <w:rsid w:val="00335A92"/>
    <w:rsid w:val="00335EA8"/>
    <w:rsid w:val="003360F4"/>
    <w:rsid w:val="0033639F"/>
    <w:rsid w:val="003363DD"/>
    <w:rsid w:val="00336902"/>
    <w:rsid w:val="00336AA5"/>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0F"/>
    <w:rsid w:val="00344BCA"/>
    <w:rsid w:val="00344D02"/>
    <w:rsid w:val="0034500C"/>
    <w:rsid w:val="00345405"/>
    <w:rsid w:val="0034582A"/>
    <w:rsid w:val="00345D69"/>
    <w:rsid w:val="00345DDD"/>
    <w:rsid w:val="00346221"/>
    <w:rsid w:val="00346500"/>
    <w:rsid w:val="003465C9"/>
    <w:rsid w:val="00346781"/>
    <w:rsid w:val="00346B41"/>
    <w:rsid w:val="00346BFF"/>
    <w:rsid w:val="00346E1C"/>
    <w:rsid w:val="00346FED"/>
    <w:rsid w:val="0034733C"/>
    <w:rsid w:val="00347A41"/>
    <w:rsid w:val="00347FCA"/>
    <w:rsid w:val="003501B6"/>
    <w:rsid w:val="003507FF"/>
    <w:rsid w:val="003515A9"/>
    <w:rsid w:val="00351E01"/>
    <w:rsid w:val="003525B8"/>
    <w:rsid w:val="00352968"/>
    <w:rsid w:val="0035298B"/>
    <w:rsid w:val="00352D21"/>
    <w:rsid w:val="00352FCF"/>
    <w:rsid w:val="00353D79"/>
    <w:rsid w:val="00353E75"/>
    <w:rsid w:val="0035411C"/>
    <w:rsid w:val="0035419C"/>
    <w:rsid w:val="0035443D"/>
    <w:rsid w:val="00354517"/>
    <w:rsid w:val="00354AA2"/>
    <w:rsid w:val="00354D8B"/>
    <w:rsid w:val="00354FEE"/>
    <w:rsid w:val="0035506B"/>
    <w:rsid w:val="00356275"/>
    <w:rsid w:val="00356C0B"/>
    <w:rsid w:val="00356EFA"/>
    <w:rsid w:val="00357B9C"/>
    <w:rsid w:val="00357ED3"/>
    <w:rsid w:val="00357F7D"/>
    <w:rsid w:val="003600C2"/>
    <w:rsid w:val="00360626"/>
    <w:rsid w:val="00361321"/>
    <w:rsid w:val="00361412"/>
    <w:rsid w:val="003615CA"/>
    <w:rsid w:val="003616F7"/>
    <w:rsid w:val="00361802"/>
    <w:rsid w:val="003621AC"/>
    <w:rsid w:val="00362320"/>
    <w:rsid w:val="00362B60"/>
    <w:rsid w:val="00362D38"/>
    <w:rsid w:val="003630D7"/>
    <w:rsid w:val="00363251"/>
    <w:rsid w:val="00363884"/>
    <w:rsid w:val="003638E0"/>
    <w:rsid w:val="00363B2C"/>
    <w:rsid w:val="00363C2E"/>
    <w:rsid w:val="003642A6"/>
    <w:rsid w:val="00364392"/>
    <w:rsid w:val="003643D2"/>
    <w:rsid w:val="00364763"/>
    <w:rsid w:val="00364AA7"/>
    <w:rsid w:val="00364BC9"/>
    <w:rsid w:val="00364FDF"/>
    <w:rsid w:val="003653A6"/>
    <w:rsid w:val="00365C3D"/>
    <w:rsid w:val="0036626E"/>
    <w:rsid w:val="003663B4"/>
    <w:rsid w:val="00366B9E"/>
    <w:rsid w:val="00366BE9"/>
    <w:rsid w:val="00366C1B"/>
    <w:rsid w:val="003671EE"/>
    <w:rsid w:val="00367337"/>
    <w:rsid w:val="00367367"/>
    <w:rsid w:val="00367FBE"/>
    <w:rsid w:val="00367FD8"/>
    <w:rsid w:val="0037004E"/>
    <w:rsid w:val="0037051E"/>
    <w:rsid w:val="0037057D"/>
    <w:rsid w:val="00370B63"/>
    <w:rsid w:val="00370FCC"/>
    <w:rsid w:val="003711AF"/>
    <w:rsid w:val="00371F9C"/>
    <w:rsid w:val="00372015"/>
    <w:rsid w:val="003723F4"/>
    <w:rsid w:val="003735C6"/>
    <w:rsid w:val="003740FB"/>
    <w:rsid w:val="00374848"/>
    <w:rsid w:val="0037527A"/>
    <w:rsid w:val="0037550F"/>
    <w:rsid w:val="003757A1"/>
    <w:rsid w:val="003759F1"/>
    <w:rsid w:val="00375D09"/>
    <w:rsid w:val="00375F52"/>
    <w:rsid w:val="00375FEB"/>
    <w:rsid w:val="003762DC"/>
    <w:rsid w:val="00376815"/>
    <w:rsid w:val="003769AF"/>
    <w:rsid w:val="00376AA7"/>
    <w:rsid w:val="00376FC4"/>
    <w:rsid w:val="00377038"/>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545"/>
    <w:rsid w:val="00383658"/>
    <w:rsid w:val="00383839"/>
    <w:rsid w:val="00383E4F"/>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2F80"/>
    <w:rsid w:val="003931B8"/>
    <w:rsid w:val="003934B6"/>
    <w:rsid w:val="00393517"/>
    <w:rsid w:val="003935B0"/>
    <w:rsid w:val="00393E44"/>
    <w:rsid w:val="00393F06"/>
    <w:rsid w:val="003941E5"/>
    <w:rsid w:val="00394301"/>
    <w:rsid w:val="003944A9"/>
    <w:rsid w:val="00394C08"/>
    <w:rsid w:val="00394E4B"/>
    <w:rsid w:val="0039518A"/>
    <w:rsid w:val="00395494"/>
    <w:rsid w:val="00395A0B"/>
    <w:rsid w:val="00395E93"/>
    <w:rsid w:val="003970F7"/>
    <w:rsid w:val="003973E6"/>
    <w:rsid w:val="0039747B"/>
    <w:rsid w:val="00397663"/>
    <w:rsid w:val="003977AB"/>
    <w:rsid w:val="00397AB6"/>
    <w:rsid w:val="00397ACA"/>
    <w:rsid w:val="00397D75"/>
    <w:rsid w:val="00397FE2"/>
    <w:rsid w:val="003A0169"/>
    <w:rsid w:val="003A10C3"/>
    <w:rsid w:val="003A1147"/>
    <w:rsid w:val="003A11B8"/>
    <w:rsid w:val="003A1D92"/>
    <w:rsid w:val="003A313A"/>
    <w:rsid w:val="003A35DD"/>
    <w:rsid w:val="003A42CB"/>
    <w:rsid w:val="003A455E"/>
    <w:rsid w:val="003A495D"/>
    <w:rsid w:val="003A4A40"/>
    <w:rsid w:val="003A4C7C"/>
    <w:rsid w:val="003A4DC7"/>
    <w:rsid w:val="003A5500"/>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445"/>
    <w:rsid w:val="003B2A7C"/>
    <w:rsid w:val="003B2D25"/>
    <w:rsid w:val="003B2E9B"/>
    <w:rsid w:val="003B2F8D"/>
    <w:rsid w:val="003B2F8E"/>
    <w:rsid w:val="003B3B2C"/>
    <w:rsid w:val="003B3C64"/>
    <w:rsid w:val="003B4A65"/>
    <w:rsid w:val="003B4BB5"/>
    <w:rsid w:val="003B4FAA"/>
    <w:rsid w:val="003B547A"/>
    <w:rsid w:val="003B5981"/>
    <w:rsid w:val="003B5E03"/>
    <w:rsid w:val="003B632F"/>
    <w:rsid w:val="003B6EC0"/>
    <w:rsid w:val="003B7320"/>
    <w:rsid w:val="003B7373"/>
    <w:rsid w:val="003B74B7"/>
    <w:rsid w:val="003B75B9"/>
    <w:rsid w:val="003B7820"/>
    <w:rsid w:val="003B7833"/>
    <w:rsid w:val="003B7A10"/>
    <w:rsid w:val="003C087B"/>
    <w:rsid w:val="003C0DA2"/>
    <w:rsid w:val="003C0E66"/>
    <w:rsid w:val="003C12F3"/>
    <w:rsid w:val="003C14B9"/>
    <w:rsid w:val="003C1A18"/>
    <w:rsid w:val="003C2592"/>
    <w:rsid w:val="003C25D4"/>
    <w:rsid w:val="003C2798"/>
    <w:rsid w:val="003C2B29"/>
    <w:rsid w:val="003C2B40"/>
    <w:rsid w:val="003C372B"/>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5A0"/>
    <w:rsid w:val="003D0788"/>
    <w:rsid w:val="003D0A2E"/>
    <w:rsid w:val="003D0BD7"/>
    <w:rsid w:val="003D1057"/>
    <w:rsid w:val="003D132A"/>
    <w:rsid w:val="003D1517"/>
    <w:rsid w:val="003D1CEF"/>
    <w:rsid w:val="003D1D50"/>
    <w:rsid w:val="003D1E7E"/>
    <w:rsid w:val="003D1F02"/>
    <w:rsid w:val="003D223E"/>
    <w:rsid w:val="003D232D"/>
    <w:rsid w:val="003D286B"/>
    <w:rsid w:val="003D2938"/>
    <w:rsid w:val="003D3783"/>
    <w:rsid w:val="003D3B36"/>
    <w:rsid w:val="003D3FBA"/>
    <w:rsid w:val="003D402B"/>
    <w:rsid w:val="003D4206"/>
    <w:rsid w:val="003D43B1"/>
    <w:rsid w:val="003D47D4"/>
    <w:rsid w:val="003D54B0"/>
    <w:rsid w:val="003D6B1F"/>
    <w:rsid w:val="003D73BB"/>
    <w:rsid w:val="003D764F"/>
    <w:rsid w:val="003D76EF"/>
    <w:rsid w:val="003D78C1"/>
    <w:rsid w:val="003D79DE"/>
    <w:rsid w:val="003E0042"/>
    <w:rsid w:val="003E0234"/>
    <w:rsid w:val="003E02C2"/>
    <w:rsid w:val="003E0667"/>
    <w:rsid w:val="003E0699"/>
    <w:rsid w:val="003E0BCE"/>
    <w:rsid w:val="003E0DF3"/>
    <w:rsid w:val="003E13E0"/>
    <w:rsid w:val="003E1623"/>
    <w:rsid w:val="003E1660"/>
    <w:rsid w:val="003E182B"/>
    <w:rsid w:val="003E1CD1"/>
    <w:rsid w:val="003E21B4"/>
    <w:rsid w:val="003E2873"/>
    <w:rsid w:val="003E2A2D"/>
    <w:rsid w:val="003E34AB"/>
    <w:rsid w:val="003E3D95"/>
    <w:rsid w:val="003E4182"/>
    <w:rsid w:val="003E461B"/>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EE9"/>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41B"/>
    <w:rsid w:val="00416895"/>
    <w:rsid w:val="00416D44"/>
    <w:rsid w:val="00416EFB"/>
    <w:rsid w:val="004170C4"/>
    <w:rsid w:val="004172A4"/>
    <w:rsid w:val="004176FF"/>
    <w:rsid w:val="00417A1E"/>
    <w:rsid w:val="00417B32"/>
    <w:rsid w:val="00417CBE"/>
    <w:rsid w:val="00417E06"/>
    <w:rsid w:val="00420082"/>
    <w:rsid w:val="00420111"/>
    <w:rsid w:val="0042109A"/>
    <w:rsid w:val="004211AF"/>
    <w:rsid w:val="0042141A"/>
    <w:rsid w:val="00421A27"/>
    <w:rsid w:val="00421D0A"/>
    <w:rsid w:val="00421EAF"/>
    <w:rsid w:val="00422057"/>
    <w:rsid w:val="004226C3"/>
    <w:rsid w:val="0042285C"/>
    <w:rsid w:val="004228BA"/>
    <w:rsid w:val="00422900"/>
    <w:rsid w:val="004229E7"/>
    <w:rsid w:val="00422FA2"/>
    <w:rsid w:val="00423520"/>
    <w:rsid w:val="004241C5"/>
    <w:rsid w:val="0042432D"/>
    <w:rsid w:val="0042467A"/>
    <w:rsid w:val="004246F1"/>
    <w:rsid w:val="00424FA7"/>
    <w:rsid w:val="0042509A"/>
    <w:rsid w:val="004251F5"/>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CF0"/>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0E1"/>
    <w:rsid w:val="004437BA"/>
    <w:rsid w:val="004439A3"/>
    <w:rsid w:val="00443A9F"/>
    <w:rsid w:val="004440FC"/>
    <w:rsid w:val="00444405"/>
    <w:rsid w:val="0044474B"/>
    <w:rsid w:val="0044498D"/>
    <w:rsid w:val="0044582B"/>
    <w:rsid w:val="00445FF7"/>
    <w:rsid w:val="00446949"/>
    <w:rsid w:val="00446F75"/>
    <w:rsid w:val="0044721B"/>
    <w:rsid w:val="004473B5"/>
    <w:rsid w:val="00447B4B"/>
    <w:rsid w:val="00450635"/>
    <w:rsid w:val="004508A8"/>
    <w:rsid w:val="00450D99"/>
    <w:rsid w:val="00450F6E"/>
    <w:rsid w:val="00450FC3"/>
    <w:rsid w:val="00451A7F"/>
    <w:rsid w:val="00451AA2"/>
    <w:rsid w:val="00451BAE"/>
    <w:rsid w:val="00452050"/>
    <w:rsid w:val="0045213E"/>
    <w:rsid w:val="004524FB"/>
    <w:rsid w:val="00452523"/>
    <w:rsid w:val="00452AAE"/>
    <w:rsid w:val="00452CA7"/>
    <w:rsid w:val="00453341"/>
    <w:rsid w:val="00453D7B"/>
    <w:rsid w:val="004545C6"/>
    <w:rsid w:val="00454693"/>
    <w:rsid w:val="00454DCA"/>
    <w:rsid w:val="00454E26"/>
    <w:rsid w:val="004558D7"/>
    <w:rsid w:val="00456165"/>
    <w:rsid w:val="00456180"/>
    <w:rsid w:val="0045653C"/>
    <w:rsid w:val="00456544"/>
    <w:rsid w:val="00456649"/>
    <w:rsid w:val="004567AF"/>
    <w:rsid w:val="004567B7"/>
    <w:rsid w:val="004567DC"/>
    <w:rsid w:val="00456856"/>
    <w:rsid w:val="004571EF"/>
    <w:rsid w:val="004572F1"/>
    <w:rsid w:val="0045730B"/>
    <w:rsid w:val="00457E26"/>
    <w:rsid w:val="00460094"/>
    <w:rsid w:val="0046026E"/>
    <w:rsid w:val="0046047A"/>
    <w:rsid w:val="00460651"/>
    <w:rsid w:val="0046078A"/>
    <w:rsid w:val="00460996"/>
    <w:rsid w:val="00460BD2"/>
    <w:rsid w:val="00461210"/>
    <w:rsid w:val="004612F6"/>
    <w:rsid w:val="00461397"/>
    <w:rsid w:val="004613A5"/>
    <w:rsid w:val="00461552"/>
    <w:rsid w:val="00461700"/>
    <w:rsid w:val="00461AAC"/>
    <w:rsid w:val="0046206A"/>
    <w:rsid w:val="00462143"/>
    <w:rsid w:val="004621D5"/>
    <w:rsid w:val="00462490"/>
    <w:rsid w:val="00462AC9"/>
    <w:rsid w:val="00462AE6"/>
    <w:rsid w:val="00462CE9"/>
    <w:rsid w:val="00463BA7"/>
    <w:rsid w:val="00463DC3"/>
    <w:rsid w:val="00464458"/>
    <w:rsid w:val="00464520"/>
    <w:rsid w:val="0046478F"/>
    <w:rsid w:val="004647F1"/>
    <w:rsid w:val="00465299"/>
    <w:rsid w:val="004652C5"/>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091A"/>
    <w:rsid w:val="0047115F"/>
    <w:rsid w:val="004712C5"/>
    <w:rsid w:val="004712FB"/>
    <w:rsid w:val="004715CB"/>
    <w:rsid w:val="00471863"/>
    <w:rsid w:val="00471B2D"/>
    <w:rsid w:val="00471DF0"/>
    <w:rsid w:val="0047231C"/>
    <w:rsid w:val="00472E39"/>
    <w:rsid w:val="00473777"/>
    <w:rsid w:val="00473A14"/>
    <w:rsid w:val="00473DC8"/>
    <w:rsid w:val="00474096"/>
    <w:rsid w:val="004740EC"/>
    <w:rsid w:val="004741C5"/>
    <w:rsid w:val="004745A9"/>
    <w:rsid w:val="0047471B"/>
    <w:rsid w:val="0047479A"/>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6C5"/>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2DD"/>
    <w:rsid w:val="004918F3"/>
    <w:rsid w:val="00491BE4"/>
    <w:rsid w:val="00491DB2"/>
    <w:rsid w:val="00491EFE"/>
    <w:rsid w:val="0049206C"/>
    <w:rsid w:val="0049215D"/>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3C4"/>
    <w:rsid w:val="004A0AA8"/>
    <w:rsid w:val="004A1345"/>
    <w:rsid w:val="004A169B"/>
    <w:rsid w:val="004A1BA8"/>
    <w:rsid w:val="004A1D08"/>
    <w:rsid w:val="004A1FE4"/>
    <w:rsid w:val="004A2103"/>
    <w:rsid w:val="004A276A"/>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0DA"/>
    <w:rsid w:val="004A71C3"/>
    <w:rsid w:val="004A71D5"/>
    <w:rsid w:val="004A724E"/>
    <w:rsid w:val="004A7279"/>
    <w:rsid w:val="004A7769"/>
    <w:rsid w:val="004A77B1"/>
    <w:rsid w:val="004B0E03"/>
    <w:rsid w:val="004B1431"/>
    <w:rsid w:val="004B1C6E"/>
    <w:rsid w:val="004B1DF7"/>
    <w:rsid w:val="004B20D0"/>
    <w:rsid w:val="004B21A4"/>
    <w:rsid w:val="004B23AD"/>
    <w:rsid w:val="004B2965"/>
    <w:rsid w:val="004B2978"/>
    <w:rsid w:val="004B29F6"/>
    <w:rsid w:val="004B3254"/>
    <w:rsid w:val="004B3265"/>
    <w:rsid w:val="004B338E"/>
    <w:rsid w:val="004B3545"/>
    <w:rsid w:val="004B3FD8"/>
    <w:rsid w:val="004B4224"/>
    <w:rsid w:val="004B426F"/>
    <w:rsid w:val="004B4297"/>
    <w:rsid w:val="004B4647"/>
    <w:rsid w:val="004B47EA"/>
    <w:rsid w:val="004B4952"/>
    <w:rsid w:val="004B68AF"/>
    <w:rsid w:val="004B6B25"/>
    <w:rsid w:val="004B7455"/>
    <w:rsid w:val="004B74FF"/>
    <w:rsid w:val="004B7533"/>
    <w:rsid w:val="004B7887"/>
    <w:rsid w:val="004B7CE4"/>
    <w:rsid w:val="004B7D6F"/>
    <w:rsid w:val="004C0161"/>
    <w:rsid w:val="004C02D1"/>
    <w:rsid w:val="004C0401"/>
    <w:rsid w:val="004C08D1"/>
    <w:rsid w:val="004C0B5F"/>
    <w:rsid w:val="004C0C49"/>
    <w:rsid w:val="004C1096"/>
    <w:rsid w:val="004C1167"/>
    <w:rsid w:val="004C1648"/>
    <w:rsid w:val="004C183D"/>
    <w:rsid w:val="004C1C90"/>
    <w:rsid w:val="004C243E"/>
    <w:rsid w:val="004C30D5"/>
    <w:rsid w:val="004C31D2"/>
    <w:rsid w:val="004C3342"/>
    <w:rsid w:val="004C3473"/>
    <w:rsid w:val="004C394F"/>
    <w:rsid w:val="004C3DD9"/>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1A"/>
    <w:rsid w:val="004C7F93"/>
    <w:rsid w:val="004D045F"/>
    <w:rsid w:val="004D09A2"/>
    <w:rsid w:val="004D0AD8"/>
    <w:rsid w:val="004D1717"/>
    <w:rsid w:val="004D18AB"/>
    <w:rsid w:val="004D1A89"/>
    <w:rsid w:val="004D1B80"/>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70E"/>
    <w:rsid w:val="004D4FBD"/>
    <w:rsid w:val="004D4FC0"/>
    <w:rsid w:val="004D5CE7"/>
    <w:rsid w:val="004D621A"/>
    <w:rsid w:val="004D6381"/>
    <w:rsid w:val="004D6DB2"/>
    <w:rsid w:val="004D7660"/>
    <w:rsid w:val="004D7BEE"/>
    <w:rsid w:val="004D7DA8"/>
    <w:rsid w:val="004D7FCA"/>
    <w:rsid w:val="004E0004"/>
    <w:rsid w:val="004E1061"/>
    <w:rsid w:val="004E107C"/>
    <w:rsid w:val="004E10CD"/>
    <w:rsid w:val="004E1145"/>
    <w:rsid w:val="004E11FC"/>
    <w:rsid w:val="004E1401"/>
    <w:rsid w:val="004E152E"/>
    <w:rsid w:val="004E2892"/>
    <w:rsid w:val="004E2951"/>
    <w:rsid w:val="004E2A84"/>
    <w:rsid w:val="004E362B"/>
    <w:rsid w:val="004E3681"/>
    <w:rsid w:val="004E3D74"/>
    <w:rsid w:val="004E3F4E"/>
    <w:rsid w:val="004E4FBB"/>
    <w:rsid w:val="004E5000"/>
    <w:rsid w:val="004E5484"/>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0FDA"/>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455B"/>
    <w:rsid w:val="004F5069"/>
    <w:rsid w:val="004F512D"/>
    <w:rsid w:val="004F5154"/>
    <w:rsid w:val="004F52B3"/>
    <w:rsid w:val="004F5319"/>
    <w:rsid w:val="004F5835"/>
    <w:rsid w:val="004F587D"/>
    <w:rsid w:val="004F661C"/>
    <w:rsid w:val="004F6754"/>
    <w:rsid w:val="004F6D99"/>
    <w:rsid w:val="00500365"/>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18E"/>
    <w:rsid w:val="00506356"/>
    <w:rsid w:val="00506498"/>
    <w:rsid w:val="005065AC"/>
    <w:rsid w:val="005067F6"/>
    <w:rsid w:val="0050682E"/>
    <w:rsid w:val="00506845"/>
    <w:rsid w:val="00506ABD"/>
    <w:rsid w:val="00506D8A"/>
    <w:rsid w:val="00506DCE"/>
    <w:rsid w:val="00507204"/>
    <w:rsid w:val="005074D8"/>
    <w:rsid w:val="00507707"/>
    <w:rsid w:val="00507B7A"/>
    <w:rsid w:val="005103C9"/>
    <w:rsid w:val="00510873"/>
    <w:rsid w:val="00510ABC"/>
    <w:rsid w:val="00511079"/>
    <w:rsid w:val="00511277"/>
    <w:rsid w:val="00511411"/>
    <w:rsid w:val="0051143D"/>
    <w:rsid w:val="00511CDF"/>
    <w:rsid w:val="00511D44"/>
    <w:rsid w:val="00511DD0"/>
    <w:rsid w:val="00511E7D"/>
    <w:rsid w:val="00511F2E"/>
    <w:rsid w:val="005126FB"/>
    <w:rsid w:val="00512829"/>
    <w:rsid w:val="00512E97"/>
    <w:rsid w:val="00512E98"/>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079"/>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740"/>
    <w:rsid w:val="00523E75"/>
    <w:rsid w:val="005243E0"/>
    <w:rsid w:val="00524DAF"/>
    <w:rsid w:val="0052502E"/>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AB3"/>
    <w:rsid w:val="00531BE6"/>
    <w:rsid w:val="0053217B"/>
    <w:rsid w:val="005325DE"/>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4B03"/>
    <w:rsid w:val="005354D2"/>
    <w:rsid w:val="00535538"/>
    <w:rsid w:val="00535BA8"/>
    <w:rsid w:val="00535E88"/>
    <w:rsid w:val="00536698"/>
    <w:rsid w:val="005366E7"/>
    <w:rsid w:val="00536E79"/>
    <w:rsid w:val="0053742F"/>
    <w:rsid w:val="005375FE"/>
    <w:rsid w:val="00537EA2"/>
    <w:rsid w:val="00537F11"/>
    <w:rsid w:val="00540182"/>
    <w:rsid w:val="0054032A"/>
    <w:rsid w:val="0054033D"/>
    <w:rsid w:val="005406C8"/>
    <w:rsid w:val="00540BFC"/>
    <w:rsid w:val="00541877"/>
    <w:rsid w:val="0054195A"/>
    <w:rsid w:val="00542057"/>
    <w:rsid w:val="005420DE"/>
    <w:rsid w:val="00542249"/>
    <w:rsid w:val="00542699"/>
    <w:rsid w:val="00542FAA"/>
    <w:rsid w:val="005431F5"/>
    <w:rsid w:val="00543707"/>
    <w:rsid w:val="0054373A"/>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035"/>
    <w:rsid w:val="0055519C"/>
    <w:rsid w:val="005554C1"/>
    <w:rsid w:val="005556A4"/>
    <w:rsid w:val="0055583F"/>
    <w:rsid w:val="00555F67"/>
    <w:rsid w:val="00556243"/>
    <w:rsid w:val="00556E32"/>
    <w:rsid w:val="00556FBA"/>
    <w:rsid w:val="0055719E"/>
    <w:rsid w:val="00557293"/>
    <w:rsid w:val="00557942"/>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955"/>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6B6"/>
    <w:rsid w:val="00576F26"/>
    <w:rsid w:val="005773BE"/>
    <w:rsid w:val="00577835"/>
    <w:rsid w:val="00577DA3"/>
    <w:rsid w:val="0058041B"/>
    <w:rsid w:val="005806C9"/>
    <w:rsid w:val="00580793"/>
    <w:rsid w:val="00580965"/>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947"/>
    <w:rsid w:val="00592CDA"/>
    <w:rsid w:val="00592F90"/>
    <w:rsid w:val="0059331A"/>
    <w:rsid w:val="00593989"/>
    <w:rsid w:val="00593A72"/>
    <w:rsid w:val="0059465F"/>
    <w:rsid w:val="00594BE0"/>
    <w:rsid w:val="00594D2A"/>
    <w:rsid w:val="00595038"/>
    <w:rsid w:val="00595A8C"/>
    <w:rsid w:val="00595C2C"/>
    <w:rsid w:val="0059606E"/>
    <w:rsid w:val="005964C1"/>
    <w:rsid w:val="00596BBA"/>
    <w:rsid w:val="00596F32"/>
    <w:rsid w:val="00597386"/>
    <w:rsid w:val="005975C4"/>
    <w:rsid w:val="00597ED8"/>
    <w:rsid w:val="005A07CF"/>
    <w:rsid w:val="005A0949"/>
    <w:rsid w:val="005A1320"/>
    <w:rsid w:val="005A17AE"/>
    <w:rsid w:val="005A1881"/>
    <w:rsid w:val="005A19FF"/>
    <w:rsid w:val="005A1A86"/>
    <w:rsid w:val="005A23A8"/>
    <w:rsid w:val="005A2B20"/>
    <w:rsid w:val="005A2FFE"/>
    <w:rsid w:val="005A335B"/>
    <w:rsid w:val="005A34D5"/>
    <w:rsid w:val="005A3771"/>
    <w:rsid w:val="005A3848"/>
    <w:rsid w:val="005A3943"/>
    <w:rsid w:val="005A3ED0"/>
    <w:rsid w:val="005A422E"/>
    <w:rsid w:val="005A4904"/>
    <w:rsid w:val="005A4910"/>
    <w:rsid w:val="005A4D19"/>
    <w:rsid w:val="005A515A"/>
    <w:rsid w:val="005A5194"/>
    <w:rsid w:val="005A57CB"/>
    <w:rsid w:val="005A5A40"/>
    <w:rsid w:val="005A5C8E"/>
    <w:rsid w:val="005A66B2"/>
    <w:rsid w:val="005A6D44"/>
    <w:rsid w:val="005A704D"/>
    <w:rsid w:val="005A70DA"/>
    <w:rsid w:val="005A7B68"/>
    <w:rsid w:val="005A7E7B"/>
    <w:rsid w:val="005A7EB4"/>
    <w:rsid w:val="005A7F7E"/>
    <w:rsid w:val="005B0B7D"/>
    <w:rsid w:val="005B0D79"/>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749"/>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59C"/>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313"/>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0ED"/>
    <w:rsid w:val="005E0148"/>
    <w:rsid w:val="005E0225"/>
    <w:rsid w:val="005E049F"/>
    <w:rsid w:val="005E05F9"/>
    <w:rsid w:val="005E0BB6"/>
    <w:rsid w:val="005E0BD3"/>
    <w:rsid w:val="005E1737"/>
    <w:rsid w:val="005E28A5"/>
    <w:rsid w:val="005E29AF"/>
    <w:rsid w:val="005E2C24"/>
    <w:rsid w:val="005E2E4A"/>
    <w:rsid w:val="005E3073"/>
    <w:rsid w:val="005E316A"/>
    <w:rsid w:val="005E3A04"/>
    <w:rsid w:val="005E40F9"/>
    <w:rsid w:val="005E499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3F31"/>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88E"/>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48E"/>
    <w:rsid w:val="006116E9"/>
    <w:rsid w:val="0061176E"/>
    <w:rsid w:val="00611E0A"/>
    <w:rsid w:val="00612261"/>
    <w:rsid w:val="006128A5"/>
    <w:rsid w:val="006136ED"/>
    <w:rsid w:val="00613DF7"/>
    <w:rsid w:val="00613EA5"/>
    <w:rsid w:val="006142B8"/>
    <w:rsid w:val="00614CD1"/>
    <w:rsid w:val="00614D57"/>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917"/>
    <w:rsid w:val="00622B15"/>
    <w:rsid w:val="00622E8D"/>
    <w:rsid w:val="00623583"/>
    <w:rsid w:val="006235D1"/>
    <w:rsid w:val="0062385C"/>
    <w:rsid w:val="00623F20"/>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0DC0"/>
    <w:rsid w:val="006310AE"/>
    <w:rsid w:val="00631467"/>
    <w:rsid w:val="00631762"/>
    <w:rsid w:val="00632196"/>
    <w:rsid w:val="00632900"/>
    <w:rsid w:val="00632BA2"/>
    <w:rsid w:val="00632DAD"/>
    <w:rsid w:val="00632F70"/>
    <w:rsid w:val="0063314C"/>
    <w:rsid w:val="00633999"/>
    <w:rsid w:val="00633BF2"/>
    <w:rsid w:val="00633F16"/>
    <w:rsid w:val="00633F67"/>
    <w:rsid w:val="00634474"/>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05B9"/>
    <w:rsid w:val="00640978"/>
    <w:rsid w:val="00641283"/>
    <w:rsid w:val="006413CF"/>
    <w:rsid w:val="00641413"/>
    <w:rsid w:val="00641465"/>
    <w:rsid w:val="00641536"/>
    <w:rsid w:val="0064165D"/>
    <w:rsid w:val="00641736"/>
    <w:rsid w:val="00641772"/>
    <w:rsid w:val="00641F2B"/>
    <w:rsid w:val="00642084"/>
    <w:rsid w:val="00642237"/>
    <w:rsid w:val="006425B0"/>
    <w:rsid w:val="00642E77"/>
    <w:rsid w:val="00642E8C"/>
    <w:rsid w:val="006433BD"/>
    <w:rsid w:val="00643562"/>
    <w:rsid w:val="00643784"/>
    <w:rsid w:val="00643B56"/>
    <w:rsid w:val="00643D5D"/>
    <w:rsid w:val="00644186"/>
    <w:rsid w:val="00644623"/>
    <w:rsid w:val="00644A21"/>
    <w:rsid w:val="00645C9F"/>
    <w:rsid w:val="00646305"/>
    <w:rsid w:val="00646353"/>
    <w:rsid w:val="0064670A"/>
    <w:rsid w:val="00646864"/>
    <w:rsid w:val="00646A6C"/>
    <w:rsid w:val="006475E6"/>
    <w:rsid w:val="00647E22"/>
    <w:rsid w:val="006508B9"/>
    <w:rsid w:val="00650B2E"/>
    <w:rsid w:val="00650BE0"/>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57B"/>
    <w:rsid w:val="006578E4"/>
    <w:rsid w:val="00657AE5"/>
    <w:rsid w:val="00657C05"/>
    <w:rsid w:val="006600DB"/>
    <w:rsid w:val="0066149E"/>
    <w:rsid w:val="00661544"/>
    <w:rsid w:val="0066161B"/>
    <w:rsid w:val="00661841"/>
    <w:rsid w:val="006619B0"/>
    <w:rsid w:val="006619C5"/>
    <w:rsid w:val="00661C29"/>
    <w:rsid w:val="00662012"/>
    <w:rsid w:val="00662543"/>
    <w:rsid w:val="006626D0"/>
    <w:rsid w:val="006628BF"/>
    <w:rsid w:val="006628E9"/>
    <w:rsid w:val="00662EC7"/>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4E"/>
    <w:rsid w:val="00670EC4"/>
    <w:rsid w:val="00671093"/>
    <w:rsid w:val="006712D5"/>
    <w:rsid w:val="006719E0"/>
    <w:rsid w:val="00671F92"/>
    <w:rsid w:val="00672559"/>
    <w:rsid w:val="0067269D"/>
    <w:rsid w:val="006728D4"/>
    <w:rsid w:val="00672988"/>
    <w:rsid w:val="00672C64"/>
    <w:rsid w:val="00672CFD"/>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6DC1"/>
    <w:rsid w:val="0067734C"/>
    <w:rsid w:val="006774D0"/>
    <w:rsid w:val="00677621"/>
    <w:rsid w:val="00677925"/>
    <w:rsid w:val="006779BF"/>
    <w:rsid w:val="00677F44"/>
    <w:rsid w:val="00680231"/>
    <w:rsid w:val="00680462"/>
    <w:rsid w:val="0068076E"/>
    <w:rsid w:val="00680F46"/>
    <w:rsid w:val="006812FB"/>
    <w:rsid w:val="0068138C"/>
    <w:rsid w:val="00681BC4"/>
    <w:rsid w:val="00681FDC"/>
    <w:rsid w:val="00682B53"/>
    <w:rsid w:val="00682C2D"/>
    <w:rsid w:val="00682F27"/>
    <w:rsid w:val="00683CFD"/>
    <w:rsid w:val="00683FE5"/>
    <w:rsid w:val="0068413F"/>
    <w:rsid w:val="0068452A"/>
    <w:rsid w:val="00684644"/>
    <w:rsid w:val="00684672"/>
    <w:rsid w:val="00684A34"/>
    <w:rsid w:val="0068590E"/>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43D"/>
    <w:rsid w:val="006948EF"/>
    <w:rsid w:val="0069493B"/>
    <w:rsid w:val="00694BE0"/>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87"/>
    <w:rsid w:val="006A23C0"/>
    <w:rsid w:val="006A3022"/>
    <w:rsid w:val="006A3052"/>
    <w:rsid w:val="006A37E6"/>
    <w:rsid w:val="006A41AE"/>
    <w:rsid w:val="006A4856"/>
    <w:rsid w:val="006A4DE3"/>
    <w:rsid w:val="006A5474"/>
    <w:rsid w:val="006A564B"/>
    <w:rsid w:val="006A5D15"/>
    <w:rsid w:val="006A5D3B"/>
    <w:rsid w:val="006A6323"/>
    <w:rsid w:val="006A7527"/>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1F4"/>
    <w:rsid w:val="006B48CB"/>
    <w:rsid w:val="006B5047"/>
    <w:rsid w:val="006B5616"/>
    <w:rsid w:val="006B564D"/>
    <w:rsid w:val="006B5E94"/>
    <w:rsid w:val="006B61F6"/>
    <w:rsid w:val="006B6313"/>
    <w:rsid w:val="006B65A8"/>
    <w:rsid w:val="006B705A"/>
    <w:rsid w:val="006B71D6"/>
    <w:rsid w:val="006B7965"/>
    <w:rsid w:val="006B7D71"/>
    <w:rsid w:val="006C0037"/>
    <w:rsid w:val="006C020D"/>
    <w:rsid w:val="006C0413"/>
    <w:rsid w:val="006C13D8"/>
    <w:rsid w:val="006C1445"/>
    <w:rsid w:val="006C1DED"/>
    <w:rsid w:val="006C21C9"/>
    <w:rsid w:val="006C2272"/>
    <w:rsid w:val="006C28FC"/>
    <w:rsid w:val="006C31C6"/>
    <w:rsid w:val="006C33FB"/>
    <w:rsid w:val="006C33FF"/>
    <w:rsid w:val="006C3738"/>
    <w:rsid w:val="006C394E"/>
    <w:rsid w:val="006C3AB0"/>
    <w:rsid w:val="006C3D77"/>
    <w:rsid w:val="006C3F5E"/>
    <w:rsid w:val="006C4EEA"/>
    <w:rsid w:val="006C4EF3"/>
    <w:rsid w:val="006C4FC1"/>
    <w:rsid w:val="006C50DD"/>
    <w:rsid w:val="006C51A5"/>
    <w:rsid w:val="006C5237"/>
    <w:rsid w:val="006C529D"/>
    <w:rsid w:val="006C5D5B"/>
    <w:rsid w:val="006C6256"/>
    <w:rsid w:val="006C6410"/>
    <w:rsid w:val="006C64B0"/>
    <w:rsid w:val="006C6642"/>
    <w:rsid w:val="006C6798"/>
    <w:rsid w:val="006C6DF7"/>
    <w:rsid w:val="006C75FC"/>
    <w:rsid w:val="006C79E4"/>
    <w:rsid w:val="006D008B"/>
    <w:rsid w:val="006D019C"/>
    <w:rsid w:val="006D0630"/>
    <w:rsid w:val="006D0826"/>
    <w:rsid w:val="006D0B55"/>
    <w:rsid w:val="006D0C12"/>
    <w:rsid w:val="006D0E6B"/>
    <w:rsid w:val="006D1A4E"/>
    <w:rsid w:val="006D2146"/>
    <w:rsid w:val="006D2196"/>
    <w:rsid w:val="006D3141"/>
    <w:rsid w:val="006D32B0"/>
    <w:rsid w:val="006D3D2C"/>
    <w:rsid w:val="006D49C5"/>
    <w:rsid w:val="006D4A29"/>
    <w:rsid w:val="006D4CBA"/>
    <w:rsid w:val="006D5DEC"/>
    <w:rsid w:val="006D632E"/>
    <w:rsid w:val="006D6C9C"/>
    <w:rsid w:val="006D6E8F"/>
    <w:rsid w:val="006D72F0"/>
    <w:rsid w:val="006D781B"/>
    <w:rsid w:val="006E07B0"/>
    <w:rsid w:val="006E094A"/>
    <w:rsid w:val="006E0C20"/>
    <w:rsid w:val="006E0F6E"/>
    <w:rsid w:val="006E0F92"/>
    <w:rsid w:val="006E12B1"/>
    <w:rsid w:val="006E13D1"/>
    <w:rsid w:val="006E16BB"/>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723"/>
    <w:rsid w:val="006E5B18"/>
    <w:rsid w:val="006E5B78"/>
    <w:rsid w:val="006E62B4"/>
    <w:rsid w:val="006E67BA"/>
    <w:rsid w:val="006E699D"/>
    <w:rsid w:val="006E6BA3"/>
    <w:rsid w:val="006E6D3C"/>
    <w:rsid w:val="006E7478"/>
    <w:rsid w:val="006E7ACE"/>
    <w:rsid w:val="006E7FC9"/>
    <w:rsid w:val="006F0F4B"/>
    <w:rsid w:val="006F1116"/>
    <w:rsid w:val="006F1623"/>
    <w:rsid w:val="006F17A2"/>
    <w:rsid w:val="006F1840"/>
    <w:rsid w:val="006F1AB0"/>
    <w:rsid w:val="006F1B9E"/>
    <w:rsid w:val="006F1CCF"/>
    <w:rsid w:val="006F1DD2"/>
    <w:rsid w:val="006F1F96"/>
    <w:rsid w:val="006F2420"/>
    <w:rsid w:val="006F24FA"/>
    <w:rsid w:val="006F2546"/>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4B8"/>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CCD"/>
    <w:rsid w:val="00702D5A"/>
    <w:rsid w:val="00702EF7"/>
    <w:rsid w:val="00702FD4"/>
    <w:rsid w:val="00703153"/>
    <w:rsid w:val="00703571"/>
    <w:rsid w:val="007035F9"/>
    <w:rsid w:val="00703989"/>
    <w:rsid w:val="00703C19"/>
    <w:rsid w:val="00703CE3"/>
    <w:rsid w:val="007041E1"/>
    <w:rsid w:val="007042E9"/>
    <w:rsid w:val="00704495"/>
    <w:rsid w:val="007048C5"/>
    <w:rsid w:val="00705062"/>
    <w:rsid w:val="0070548E"/>
    <w:rsid w:val="00705BBE"/>
    <w:rsid w:val="0070611C"/>
    <w:rsid w:val="007075B4"/>
    <w:rsid w:val="007077E2"/>
    <w:rsid w:val="00707AF4"/>
    <w:rsid w:val="007108D3"/>
    <w:rsid w:val="00710F10"/>
    <w:rsid w:val="00711056"/>
    <w:rsid w:val="0071118B"/>
    <w:rsid w:val="00711316"/>
    <w:rsid w:val="007118EA"/>
    <w:rsid w:val="00711C66"/>
    <w:rsid w:val="00711C6D"/>
    <w:rsid w:val="00711E13"/>
    <w:rsid w:val="00712597"/>
    <w:rsid w:val="007126BC"/>
    <w:rsid w:val="00712DEC"/>
    <w:rsid w:val="00712EDA"/>
    <w:rsid w:val="00713498"/>
    <w:rsid w:val="007136D0"/>
    <w:rsid w:val="007137A0"/>
    <w:rsid w:val="00713932"/>
    <w:rsid w:val="00713A7D"/>
    <w:rsid w:val="00713C83"/>
    <w:rsid w:val="007142AE"/>
    <w:rsid w:val="00714CD5"/>
    <w:rsid w:val="007152C2"/>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71D"/>
    <w:rsid w:val="00726878"/>
    <w:rsid w:val="00726A86"/>
    <w:rsid w:val="00726AA2"/>
    <w:rsid w:val="0072741A"/>
    <w:rsid w:val="00727B43"/>
    <w:rsid w:val="0073067D"/>
    <w:rsid w:val="00730EE2"/>
    <w:rsid w:val="00730F82"/>
    <w:rsid w:val="0073124A"/>
    <w:rsid w:val="00731A6A"/>
    <w:rsid w:val="00731A82"/>
    <w:rsid w:val="00731B79"/>
    <w:rsid w:val="00732079"/>
    <w:rsid w:val="007320A2"/>
    <w:rsid w:val="007327CE"/>
    <w:rsid w:val="007329F4"/>
    <w:rsid w:val="00732ABF"/>
    <w:rsid w:val="00732D00"/>
    <w:rsid w:val="00732E10"/>
    <w:rsid w:val="0073307A"/>
    <w:rsid w:val="0073345D"/>
    <w:rsid w:val="00733893"/>
    <w:rsid w:val="00733BDC"/>
    <w:rsid w:val="007343DC"/>
    <w:rsid w:val="00734A05"/>
    <w:rsid w:val="00734C24"/>
    <w:rsid w:val="00734ECC"/>
    <w:rsid w:val="007351DC"/>
    <w:rsid w:val="007353D7"/>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0FCB"/>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1EEE"/>
    <w:rsid w:val="007521CA"/>
    <w:rsid w:val="00752316"/>
    <w:rsid w:val="007524BB"/>
    <w:rsid w:val="00752540"/>
    <w:rsid w:val="00752926"/>
    <w:rsid w:val="00752B03"/>
    <w:rsid w:val="00752E4C"/>
    <w:rsid w:val="00753454"/>
    <w:rsid w:val="00753482"/>
    <w:rsid w:val="00753BB5"/>
    <w:rsid w:val="00753DCD"/>
    <w:rsid w:val="00753E8C"/>
    <w:rsid w:val="007541A4"/>
    <w:rsid w:val="007544F1"/>
    <w:rsid w:val="007546FC"/>
    <w:rsid w:val="00754E21"/>
    <w:rsid w:val="0075541E"/>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2FDD"/>
    <w:rsid w:val="0076322F"/>
    <w:rsid w:val="00763C9A"/>
    <w:rsid w:val="00764537"/>
    <w:rsid w:val="0076495E"/>
    <w:rsid w:val="00764FB4"/>
    <w:rsid w:val="007651CA"/>
    <w:rsid w:val="0076561B"/>
    <w:rsid w:val="007656D6"/>
    <w:rsid w:val="00765C18"/>
    <w:rsid w:val="007661D6"/>
    <w:rsid w:val="007661EA"/>
    <w:rsid w:val="0076654B"/>
    <w:rsid w:val="00766603"/>
    <w:rsid w:val="00766AF0"/>
    <w:rsid w:val="00766C3E"/>
    <w:rsid w:val="00767519"/>
    <w:rsid w:val="00767958"/>
    <w:rsid w:val="0076799C"/>
    <w:rsid w:val="00767C4F"/>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13A"/>
    <w:rsid w:val="00777315"/>
    <w:rsid w:val="0077757C"/>
    <w:rsid w:val="00777AB2"/>
    <w:rsid w:val="00777F83"/>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9E8"/>
    <w:rsid w:val="00784B3D"/>
    <w:rsid w:val="00784CF1"/>
    <w:rsid w:val="0078539D"/>
    <w:rsid w:val="007856C1"/>
    <w:rsid w:val="00785B0F"/>
    <w:rsid w:val="00785EFE"/>
    <w:rsid w:val="00787051"/>
    <w:rsid w:val="0079018D"/>
    <w:rsid w:val="007901DC"/>
    <w:rsid w:val="007907FE"/>
    <w:rsid w:val="00790934"/>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3FA2"/>
    <w:rsid w:val="007948AB"/>
    <w:rsid w:val="007948B2"/>
    <w:rsid w:val="00794B0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50A"/>
    <w:rsid w:val="007A39DF"/>
    <w:rsid w:val="007A39E3"/>
    <w:rsid w:val="007A43ED"/>
    <w:rsid w:val="007A4BDD"/>
    <w:rsid w:val="007A54E0"/>
    <w:rsid w:val="007A5709"/>
    <w:rsid w:val="007A5C14"/>
    <w:rsid w:val="007A5D6E"/>
    <w:rsid w:val="007A6195"/>
    <w:rsid w:val="007A6212"/>
    <w:rsid w:val="007A6490"/>
    <w:rsid w:val="007A6B10"/>
    <w:rsid w:val="007A6CFD"/>
    <w:rsid w:val="007A72EE"/>
    <w:rsid w:val="007A788F"/>
    <w:rsid w:val="007A7950"/>
    <w:rsid w:val="007A7998"/>
    <w:rsid w:val="007B0189"/>
    <w:rsid w:val="007B01ED"/>
    <w:rsid w:val="007B0397"/>
    <w:rsid w:val="007B0571"/>
    <w:rsid w:val="007B0A18"/>
    <w:rsid w:val="007B0ADB"/>
    <w:rsid w:val="007B1037"/>
    <w:rsid w:val="007B16BB"/>
    <w:rsid w:val="007B1F9D"/>
    <w:rsid w:val="007B1FEE"/>
    <w:rsid w:val="007B2366"/>
    <w:rsid w:val="007B26EE"/>
    <w:rsid w:val="007B2A51"/>
    <w:rsid w:val="007B2E1A"/>
    <w:rsid w:val="007B3502"/>
    <w:rsid w:val="007B3976"/>
    <w:rsid w:val="007B3BD6"/>
    <w:rsid w:val="007B3E6D"/>
    <w:rsid w:val="007B3F67"/>
    <w:rsid w:val="007B4032"/>
    <w:rsid w:val="007B44ED"/>
    <w:rsid w:val="007B46DE"/>
    <w:rsid w:val="007B4834"/>
    <w:rsid w:val="007B491A"/>
    <w:rsid w:val="007B497E"/>
    <w:rsid w:val="007B4AAE"/>
    <w:rsid w:val="007B4D7D"/>
    <w:rsid w:val="007B4F53"/>
    <w:rsid w:val="007B5028"/>
    <w:rsid w:val="007B5370"/>
    <w:rsid w:val="007B5405"/>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3FDF"/>
    <w:rsid w:val="007C44A5"/>
    <w:rsid w:val="007C4B0F"/>
    <w:rsid w:val="007C4B99"/>
    <w:rsid w:val="007C4CF4"/>
    <w:rsid w:val="007C4DAD"/>
    <w:rsid w:val="007C500F"/>
    <w:rsid w:val="007C50A2"/>
    <w:rsid w:val="007C55B6"/>
    <w:rsid w:val="007C5830"/>
    <w:rsid w:val="007C5933"/>
    <w:rsid w:val="007C599E"/>
    <w:rsid w:val="007C5D56"/>
    <w:rsid w:val="007C5DB8"/>
    <w:rsid w:val="007C5DCE"/>
    <w:rsid w:val="007C6147"/>
    <w:rsid w:val="007C6CA2"/>
    <w:rsid w:val="007C776C"/>
    <w:rsid w:val="007C78F0"/>
    <w:rsid w:val="007C7B41"/>
    <w:rsid w:val="007C7CB3"/>
    <w:rsid w:val="007D047F"/>
    <w:rsid w:val="007D04D0"/>
    <w:rsid w:val="007D05B2"/>
    <w:rsid w:val="007D05FA"/>
    <w:rsid w:val="007D08AD"/>
    <w:rsid w:val="007D0C44"/>
    <w:rsid w:val="007D0FB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744"/>
    <w:rsid w:val="007D4B19"/>
    <w:rsid w:val="007D4B66"/>
    <w:rsid w:val="007D4C88"/>
    <w:rsid w:val="007D4E53"/>
    <w:rsid w:val="007D54F8"/>
    <w:rsid w:val="007D5B29"/>
    <w:rsid w:val="007D5B37"/>
    <w:rsid w:val="007D5E27"/>
    <w:rsid w:val="007D6031"/>
    <w:rsid w:val="007D6DE0"/>
    <w:rsid w:val="007D6F64"/>
    <w:rsid w:val="007D7B02"/>
    <w:rsid w:val="007D7ECD"/>
    <w:rsid w:val="007E0F89"/>
    <w:rsid w:val="007E1043"/>
    <w:rsid w:val="007E170F"/>
    <w:rsid w:val="007E1782"/>
    <w:rsid w:val="007E17D4"/>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1083"/>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6E3D"/>
    <w:rsid w:val="007F7920"/>
    <w:rsid w:val="007F7E1A"/>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99E"/>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2EE"/>
    <w:rsid w:val="00823382"/>
    <w:rsid w:val="008234B2"/>
    <w:rsid w:val="00823725"/>
    <w:rsid w:val="00823E57"/>
    <w:rsid w:val="00824462"/>
    <w:rsid w:val="00824849"/>
    <w:rsid w:val="00824894"/>
    <w:rsid w:val="00824D88"/>
    <w:rsid w:val="00824E97"/>
    <w:rsid w:val="00824FFF"/>
    <w:rsid w:val="00825366"/>
    <w:rsid w:val="00825AED"/>
    <w:rsid w:val="00825E1B"/>
    <w:rsid w:val="00825E84"/>
    <w:rsid w:val="00826A60"/>
    <w:rsid w:val="00826C7B"/>
    <w:rsid w:val="00826DD9"/>
    <w:rsid w:val="00826E01"/>
    <w:rsid w:val="0082737E"/>
    <w:rsid w:val="00827461"/>
    <w:rsid w:val="0082776B"/>
    <w:rsid w:val="008277A8"/>
    <w:rsid w:val="008278B6"/>
    <w:rsid w:val="0082792B"/>
    <w:rsid w:val="00827DA8"/>
    <w:rsid w:val="00827EA0"/>
    <w:rsid w:val="008307ED"/>
    <w:rsid w:val="00830B3B"/>
    <w:rsid w:val="00830D0F"/>
    <w:rsid w:val="00831010"/>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021"/>
    <w:rsid w:val="00840121"/>
    <w:rsid w:val="008401B2"/>
    <w:rsid w:val="00840830"/>
    <w:rsid w:val="008409AA"/>
    <w:rsid w:val="00840AA8"/>
    <w:rsid w:val="00840FB8"/>
    <w:rsid w:val="00841B17"/>
    <w:rsid w:val="00842848"/>
    <w:rsid w:val="008428C4"/>
    <w:rsid w:val="00842E0C"/>
    <w:rsid w:val="00843647"/>
    <w:rsid w:val="00843818"/>
    <w:rsid w:val="00843A7A"/>
    <w:rsid w:val="008440C0"/>
    <w:rsid w:val="008447D4"/>
    <w:rsid w:val="008447F5"/>
    <w:rsid w:val="00844CCF"/>
    <w:rsid w:val="00844E6C"/>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352C"/>
    <w:rsid w:val="00854553"/>
    <w:rsid w:val="008550C0"/>
    <w:rsid w:val="008558D9"/>
    <w:rsid w:val="00855B86"/>
    <w:rsid w:val="00856D47"/>
    <w:rsid w:val="00856E15"/>
    <w:rsid w:val="008572EC"/>
    <w:rsid w:val="008575D4"/>
    <w:rsid w:val="0085763B"/>
    <w:rsid w:val="00857688"/>
    <w:rsid w:val="00857702"/>
    <w:rsid w:val="00857768"/>
    <w:rsid w:val="0085788E"/>
    <w:rsid w:val="00857FB5"/>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67EC"/>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2C5"/>
    <w:rsid w:val="00880798"/>
    <w:rsid w:val="00880BBB"/>
    <w:rsid w:val="00880EDF"/>
    <w:rsid w:val="008811FD"/>
    <w:rsid w:val="00881305"/>
    <w:rsid w:val="0088137C"/>
    <w:rsid w:val="00881416"/>
    <w:rsid w:val="008819B6"/>
    <w:rsid w:val="0088208D"/>
    <w:rsid w:val="0088212C"/>
    <w:rsid w:val="00882C3C"/>
    <w:rsid w:val="00882DE6"/>
    <w:rsid w:val="0088317D"/>
    <w:rsid w:val="00883366"/>
    <w:rsid w:val="008835D5"/>
    <w:rsid w:val="008835D8"/>
    <w:rsid w:val="00883A20"/>
    <w:rsid w:val="00883D4D"/>
    <w:rsid w:val="00884007"/>
    <w:rsid w:val="0088458E"/>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87C63"/>
    <w:rsid w:val="00887E4E"/>
    <w:rsid w:val="00890259"/>
    <w:rsid w:val="008908E5"/>
    <w:rsid w:val="00890D0E"/>
    <w:rsid w:val="00891216"/>
    <w:rsid w:val="00891CE4"/>
    <w:rsid w:val="00892A60"/>
    <w:rsid w:val="00893909"/>
    <w:rsid w:val="00893942"/>
    <w:rsid w:val="0089414E"/>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130"/>
    <w:rsid w:val="008A127F"/>
    <w:rsid w:val="008A16F9"/>
    <w:rsid w:val="008A189B"/>
    <w:rsid w:val="008A1CCA"/>
    <w:rsid w:val="008A1D3E"/>
    <w:rsid w:val="008A1E07"/>
    <w:rsid w:val="008A290F"/>
    <w:rsid w:val="008A3038"/>
    <w:rsid w:val="008A3967"/>
    <w:rsid w:val="008A49D7"/>
    <w:rsid w:val="008A4A10"/>
    <w:rsid w:val="008A4B16"/>
    <w:rsid w:val="008A4D01"/>
    <w:rsid w:val="008A4D63"/>
    <w:rsid w:val="008A4E11"/>
    <w:rsid w:val="008A51C1"/>
    <w:rsid w:val="008A5330"/>
    <w:rsid w:val="008A5875"/>
    <w:rsid w:val="008A5971"/>
    <w:rsid w:val="008A65B2"/>
    <w:rsid w:val="008A6982"/>
    <w:rsid w:val="008A6D62"/>
    <w:rsid w:val="008A70F7"/>
    <w:rsid w:val="008A726F"/>
    <w:rsid w:val="008A7606"/>
    <w:rsid w:val="008A7E69"/>
    <w:rsid w:val="008B0A73"/>
    <w:rsid w:val="008B13E9"/>
    <w:rsid w:val="008B163D"/>
    <w:rsid w:val="008B1BBB"/>
    <w:rsid w:val="008B2257"/>
    <w:rsid w:val="008B2436"/>
    <w:rsid w:val="008B26D5"/>
    <w:rsid w:val="008B3287"/>
    <w:rsid w:val="008B346C"/>
    <w:rsid w:val="008B3576"/>
    <w:rsid w:val="008B3B51"/>
    <w:rsid w:val="008B3E7B"/>
    <w:rsid w:val="008B4057"/>
    <w:rsid w:val="008B4145"/>
    <w:rsid w:val="008B44B0"/>
    <w:rsid w:val="008B44C8"/>
    <w:rsid w:val="008B4E46"/>
    <w:rsid w:val="008B4F0A"/>
    <w:rsid w:val="008B5071"/>
    <w:rsid w:val="008B5290"/>
    <w:rsid w:val="008B52C4"/>
    <w:rsid w:val="008B5AD2"/>
    <w:rsid w:val="008B5D94"/>
    <w:rsid w:val="008B5EB6"/>
    <w:rsid w:val="008B63B3"/>
    <w:rsid w:val="008B6A40"/>
    <w:rsid w:val="008B6EE2"/>
    <w:rsid w:val="008B72EC"/>
    <w:rsid w:val="008B73FA"/>
    <w:rsid w:val="008C0B4F"/>
    <w:rsid w:val="008C16CC"/>
    <w:rsid w:val="008C2B53"/>
    <w:rsid w:val="008C2BD3"/>
    <w:rsid w:val="008C2CF1"/>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50D"/>
    <w:rsid w:val="008C6C4B"/>
    <w:rsid w:val="008C6D87"/>
    <w:rsid w:val="008C71C8"/>
    <w:rsid w:val="008C7627"/>
    <w:rsid w:val="008D03F1"/>
    <w:rsid w:val="008D0681"/>
    <w:rsid w:val="008D0A5A"/>
    <w:rsid w:val="008D0C3C"/>
    <w:rsid w:val="008D148E"/>
    <w:rsid w:val="008D1606"/>
    <w:rsid w:val="008D167D"/>
    <w:rsid w:val="008D1C1D"/>
    <w:rsid w:val="008D1DAB"/>
    <w:rsid w:val="008D1FF8"/>
    <w:rsid w:val="008D20FE"/>
    <w:rsid w:val="008D251F"/>
    <w:rsid w:val="008D2B26"/>
    <w:rsid w:val="008D2BF9"/>
    <w:rsid w:val="008D2E88"/>
    <w:rsid w:val="008D3116"/>
    <w:rsid w:val="008D3F33"/>
    <w:rsid w:val="008D4476"/>
    <w:rsid w:val="008D492A"/>
    <w:rsid w:val="008D4B58"/>
    <w:rsid w:val="008D4B7F"/>
    <w:rsid w:val="008D4B8A"/>
    <w:rsid w:val="008D4DD2"/>
    <w:rsid w:val="008D51F0"/>
    <w:rsid w:val="008D5330"/>
    <w:rsid w:val="008D559D"/>
    <w:rsid w:val="008D562E"/>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2F9C"/>
    <w:rsid w:val="008E3063"/>
    <w:rsid w:val="008E30C6"/>
    <w:rsid w:val="008E332D"/>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6F10"/>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3"/>
    <w:rsid w:val="008F38EE"/>
    <w:rsid w:val="008F3A90"/>
    <w:rsid w:val="008F4679"/>
    <w:rsid w:val="008F46E2"/>
    <w:rsid w:val="008F47C6"/>
    <w:rsid w:val="008F4C3A"/>
    <w:rsid w:val="008F524E"/>
    <w:rsid w:val="008F528F"/>
    <w:rsid w:val="008F5C40"/>
    <w:rsid w:val="008F6647"/>
    <w:rsid w:val="008F700E"/>
    <w:rsid w:val="008F72D1"/>
    <w:rsid w:val="008F781B"/>
    <w:rsid w:val="008F7D69"/>
    <w:rsid w:val="0090024E"/>
    <w:rsid w:val="00900343"/>
    <w:rsid w:val="009006A2"/>
    <w:rsid w:val="0090102B"/>
    <w:rsid w:val="00901448"/>
    <w:rsid w:val="0090173B"/>
    <w:rsid w:val="00902C43"/>
    <w:rsid w:val="0090348E"/>
    <w:rsid w:val="009034F6"/>
    <w:rsid w:val="009036BC"/>
    <w:rsid w:val="00903D30"/>
    <w:rsid w:val="00903D77"/>
    <w:rsid w:val="00904414"/>
    <w:rsid w:val="00905010"/>
    <w:rsid w:val="00905197"/>
    <w:rsid w:val="009052A7"/>
    <w:rsid w:val="00905AA0"/>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8C6"/>
    <w:rsid w:val="0091292B"/>
    <w:rsid w:val="00912BB6"/>
    <w:rsid w:val="00912CC3"/>
    <w:rsid w:val="0091300C"/>
    <w:rsid w:val="009132C6"/>
    <w:rsid w:val="009134C3"/>
    <w:rsid w:val="009134DE"/>
    <w:rsid w:val="009135A7"/>
    <w:rsid w:val="009140C3"/>
    <w:rsid w:val="00914210"/>
    <w:rsid w:val="009147EE"/>
    <w:rsid w:val="00914A69"/>
    <w:rsid w:val="00914CDA"/>
    <w:rsid w:val="00915578"/>
    <w:rsid w:val="009159AC"/>
    <w:rsid w:val="00915B81"/>
    <w:rsid w:val="00915C72"/>
    <w:rsid w:val="00915D6B"/>
    <w:rsid w:val="00915F34"/>
    <w:rsid w:val="009160DF"/>
    <w:rsid w:val="009162C7"/>
    <w:rsid w:val="00916381"/>
    <w:rsid w:val="00916EC2"/>
    <w:rsid w:val="009176A0"/>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345C"/>
    <w:rsid w:val="00924393"/>
    <w:rsid w:val="00924627"/>
    <w:rsid w:val="009246FB"/>
    <w:rsid w:val="00924BD9"/>
    <w:rsid w:val="009250A8"/>
    <w:rsid w:val="009250C8"/>
    <w:rsid w:val="009257AF"/>
    <w:rsid w:val="00925BBC"/>
    <w:rsid w:val="00925BE6"/>
    <w:rsid w:val="00926390"/>
    <w:rsid w:val="009264CF"/>
    <w:rsid w:val="00926697"/>
    <w:rsid w:val="009266D7"/>
    <w:rsid w:val="00926983"/>
    <w:rsid w:val="00926F61"/>
    <w:rsid w:val="00926FA9"/>
    <w:rsid w:val="00927146"/>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66"/>
    <w:rsid w:val="009448CD"/>
    <w:rsid w:val="009449B2"/>
    <w:rsid w:val="00944A5C"/>
    <w:rsid w:val="00944A82"/>
    <w:rsid w:val="00944BA5"/>
    <w:rsid w:val="00945029"/>
    <w:rsid w:val="00945091"/>
    <w:rsid w:val="0094573A"/>
    <w:rsid w:val="00945A74"/>
    <w:rsid w:val="00945AC7"/>
    <w:rsid w:val="0094651B"/>
    <w:rsid w:val="009467E8"/>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2C6E"/>
    <w:rsid w:val="00953355"/>
    <w:rsid w:val="00953FE9"/>
    <w:rsid w:val="00954417"/>
    <w:rsid w:val="0095481C"/>
    <w:rsid w:val="0095526F"/>
    <w:rsid w:val="009552E8"/>
    <w:rsid w:val="009554E7"/>
    <w:rsid w:val="00955E4A"/>
    <w:rsid w:val="00955E70"/>
    <w:rsid w:val="009565E8"/>
    <w:rsid w:val="0095660A"/>
    <w:rsid w:val="009567E6"/>
    <w:rsid w:val="00956BFF"/>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238"/>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856"/>
    <w:rsid w:val="00996A9F"/>
    <w:rsid w:val="00996E72"/>
    <w:rsid w:val="00996F15"/>
    <w:rsid w:val="00997013"/>
    <w:rsid w:val="00997CF4"/>
    <w:rsid w:val="009A1169"/>
    <w:rsid w:val="009A164C"/>
    <w:rsid w:val="009A1AAC"/>
    <w:rsid w:val="009A21C7"/>
    <w:rsid w:val="009A2289"/>
    <w:rsid w:val="009A22A9"/>
    <w:rsid w:val="009A28B1"/>
    <w:rsid w:val="009A2B7D"/>
    <w:rsid w:val="009A2BB6"/>
    <w:rsid w:val="009A2CB8"/>
    <w:rsid w:val="009A3125"/>
    <w:rsid w:val="009A3789"/>
    <w:rsid w:val="009A3D54"/>
    <w:rsid w:val="009A4419"/>
    <w:rsid w:val="009A45A2"/>
    <w:rsid w:val="009A4DBF"/>
    <w:rsid w:val="009A5449"/>
    <w:rsid w:val="009A56D4"/>
    <w:rsid w:val="009A5D01"/>
    <w:rsid w:val="009A5F5E"/>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D2A"/>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AB7"/>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D7D5C"/>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9E4"/>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96B"/>
    <w:rsid w:val="009F5BC5"/>
    <w:rsid w:val="009F65F0"/>
    <w:rsid w:val="009F6AD5"/>
    <w:rsid w:val="009F6BCE"/>
    <w:rsid w:val="009F71D3"/>
    <w:rsid w:val="009F7867"/>
    <w:rsid w:val="009F7CB5"/>
    <w:rsid w:val="009F7D66"/>
    <w:rsid w:val="009F7F0B"/>
    <w:rsid w:val="00A00695"/>
    <w:rsid w:val="00A00BD2"/>
    <w:rsid w:val="00A00E56"/>
    <w:rsid w:val="00A016DF"/>
    <w:rsid w:val="00A01763"/>
    <w:rsid w:val="00A02034"/>
    <w:rsid w:val="00A02651"/>
    <w:rsid w:val="00A027F3"/>
    <w:rsid w:val="00A02D50"/>
    <w:rsid w:val="00A0305C"/>
    <w:rsid w:val="00A03066"/>
    <w:rsid w:val="00A03511"/>
    <w:rsid w:val="00A0353E"/>
    <w:rsid w:val="00A03978"/>
    <w:rsid w:val="00A03AB1"/>
    <w:rsid w:val="00A03EC2"/>
    <w:rsid w:val="00A043B8"/>
    <w:rsid w:val="00A04921"/>
    <w:rsid w:val="00A04AAE"/>
    <w:rsid w:val="00A04C9E"/>
    <w:rsid w:val="00A04D7E"/>
    <w:rsid w:val="00A051D9"/>
    <w:rsid w:val="00A05633"/>
    <w:rsid w:val="00A05D67"/>
    <w:rsid w:val="00A05DF3"/>
    <w:rsid w:val="00A0617E"/>
    <w:rsid w:val="00A061F2"/>
    <w:rsid w:val="00A066FA"/>
    <w:rsid w:val="00A06E21"/>
    <w:rsid w:val="00A06F49"/>
    <w:rsid w:val="00A0706F"/>
    <w:rsid w:val="00A0784E"/>
    <w:rsid w:val="00A079A3"/>
    <w:rsid w:val="00A07DFD"/>
    <w:rsid w:val="00A07E08"/>
    <w:rsid w:val="00A07E99"/>
    <w:rsid w:val="00A07FD5"/>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826"/>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558"/>
    <w:rsid w:val="00A2566C"/>
    <w:rsid w:val="00A25740"/>
    <w:rsid w:val="00A25DBD"/>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B31"/>
    <w:rsid w:val="00A34D4A"/>
    <w:rsid w:val="00A34DC9"/>
    <w:rsid w:val="00A34E96"/>
    <w:rsid w:val="00A35548"/>
    <w:rsid w:val="00A35CC8"/>
    <w:rsid w:val="00A36155"/>
    <w:rsid w:val="00A3629E"/>
    <w:rsid w:val="00A362FF"/>
    <w:rsid w:val="00A365AD"/>
    <w:rsid w:val="00A36B93"/>
    <w:rsid w:val="00A36D01"/>
    <w:rsid w:val="00A3791A"/>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C9C"/>
    <w:rsid w:val="00A50DDA"/>
    <w:rsid w:val="00A5103E"/>
    <w:rsid w:val="00A51180"/>
    <w:rsid w:val="00A51242"/>
    <w:rsid w:val="00A514E6"/>
    <w:rsid w:val="00A51522"/>
    <w:rsid w:val="00A51573"/>
    <w:rsid w:val="00A51A5E"/>
    <w:rsid w:val="00A52259"/>
    <w:rsid w:val="00A5231D"/>
    <w:rsid w:val="00A52895"/>
    <w:rsid w:val="00A52D7D"/>
    <w:rsid w:val="00A539A5"/>
    <w:rsid w:val="00A53DA0"/>
    <w:rsid w:val="00A5404D"/>
    <w:rsid w:val="00A541C3"/>
    <w:rsid w:val="00A54F99"/>
    <w:rsid w:val="00A555A7"/>
    <w:rsid w:val="00A5570C"/>
    <w:rsid w:val="00A55918"/>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0860"/>
    <w:rsid w:val="00A71140"/>
    <w:rsid w:val="00A7157D"/>
    <w:rsid w:val="00A7205E"/>
    <w:rsid w:val="00A72ACC"/>
    <w:rsid w:val="00A73922"/>
    <w:rsid w:val="00A73D24"/>
    <w:rsid w:val="00A7439F"/>
    <w:rsid w:val="00A74692"/>
    <w:rsid w:val="00A746D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154E"/>
    <w:rsid w:val="00A81F72"/>
    <w:rsid w:val="00A8307A"/>
    <w:rsid w:val="00A831A9"/>
    <w:rsid w:val="00A83567"/>
    <w:rsid w:val="00A83DA4"/>
    <w:rsid w:val="00A83F8E"/>
    <w:rsid w:val="00A856D6"/>
    <w:rsid w:val="00A85798"/>
    <w:rsid w:val="00A85C6A"/>
    <w:rsid w:val="00A85C85"/>
    <w:rsid w:val="00A8609D"/>
    <w:rsid w:val="00A86304"/>
    <w:rsid w:val="00A86AEC"/>
    <w:rsid w:val="00A86BBF"/>
    <w:rsid w:val="00A86EA7"/>
    <w:rsid w:val="00A87598"/>
    <w:rsid w:val="00A875F7"/>
    <w:rsid w:val="00A87B04"/>
    <w:rsid w:val="00A911A0"/>
    <w:rsid w:val="00A91244"/>
    <w:rsid w:val="00A91774"/>
    <w:rsid w:val="00A91806"/>
    <w:rsid w:val="00A91C7F"/>
    <w:rsid w:val="00A92066"/>
    <w:rsid w:val="00A92179"/>
    <w:rsid w:val="00A92776"/>
    <w:rsid w:val="00A93145"/>
    <w:rsid w:val="00A93181"/>
    <w:rsid w:val="00A9380F"/>
    <w:rsid w:val="00A938E6"/>
    <w:rsid w:val="00A93BE5"/>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47E"/>
    <w:rsid w:val="00AA161A"/>
    <w:rsid w:val="00AA2094"/>
    <w:rsid w:val="00AA22E4"/>
    <w:rsid w:val="00AA247C"/>
    <w:rsid w:val="00AA25A9"/>
    <w:rsid w:val="00AA26D9"/>
    <w:rsid w:val="00AA278A"/>
    <w:rsid w:val="00AA2822"/>
    <w:rsid w:val="00AA2D9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2E18"/>
    <w:rsid w:val="00AB395E"/>
    <w:rsid w:val="00AB3A15"/>
    <w:rsid w:val="00AB3EF2"/>
    <w:rsid w:val="00AB3F3D"/>
    <w:rsid w:val="00AB40C3"/>
    <w:rsid w:val="00AB4BD4"/>
    <w:rsid w:val="00AB4BE0"/>
    <w:rsid w:val="00AB4DED"/>
    <w:rsid w:val="00AB4ECC"/>
    <w:rsid w:val="00AB4F0F"/>
    <w:rsid w:val="00AB5127"/>
    <w:rsid w:val="00AB53E3"/>
    <w:rsid w:val="00AB57FD"/>
    <w:rsid w:val="00AB60E2"/>
    <w:rsid w:val="00AB6427"/>
    <w:rsid w:val="00AB6601"/>
    <w:rsid w:val="00AB674E"/>
    <w:rsid w:val="00AB6D79"/>
    <w:rsid w:val="00AB709E"/>
    <w:rsid w:val="00AB72E7"/>
    <w:rsid w:val="00AB7396"/>
    <w:rsid w:val="00AB7806"/>
    <w:rsid w:val="00AB7843"/>
    <w:rsid w:val="00AB7B20"/>
    <w:rsid w:val="00AC02C1"/>
    <w:rsid w:val="00AC0410"/>
    <w:rsid w:val="00AC062A"/>
    <w:rsid w:val="00AC081A"/>
    <w:rsid w:val="00AC0AB6"/>
    <w:rsid w:val="00AC0FA4"/>
    <w:rsid w:val="00AC0FED"/>
    <w:rsid w:val="00AC10AD"/>
    <w:rsid w:val="00AC17CD"/>
    <w:rsid w:val="00AC1AA0"/>
    <w:rsid w:val="00AC1E55"/>
    <w:rsid w:val="00AC309F"/>
    <w:rsid w:val="00AC3D05"/>
    <w:rsid w:val="00AC3D06"/>
    <w:rsid w:val="00AC427B"/>
    <w:rsid w:val="00AC429F"/>
    <w:rsid w:val="00AC42C5"/>
    <w:rsid w:val="00AC4402"/>
    <w:rsid w:val="00AC447C"/>
    <w:rsid w:val="00AC4A27"/>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0CFD"/>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3A5"/>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1281"/>
    <w:rsid w:val="00AE2674"/>
    <w:rsid w:val="00AE2912"/>
    <w:rsid w:val="00AE2AB0"/>
    <w:rsid w:val="00AE2BED"/>
    <w:rsid w:val="00AE3228"/>
    <w:rsid w:val="00AE3DE1"/>
    <w:rsid w:val="00AE3EA0"/>
    <w:rsid w:val="00AE3EE4"/>
    <w:rsid w:val="00AE47FA"/>
    <w:rsid w:val="00AE5439"/>
    <w:rsid w:val="00AE5BB3"/>
    <w:rsid w:val="00AE5F9D"/>
    <w:rsid w:val="00AE6016"/>
    <w:rsid w:val="00AE60E8"/>
    <w:rsid w:val="00AE616A"/>
    <w:rsid w:val="00AE61B2"/>
    <w:rsid w:val="00AE6549"/>
    <w:rsid w:val="00AE6799"/>
    <w:rsid w:val="00AE78D1"/>
    <w:rsid w:val="00AE7EF0"/>
    <w:rsid w:val="00AE7F89"/>
    <w:rsid w:val="00AE7FFC"/>
    <w:rsid w:val="00AF02F2"/>
    <w:rsid w:val="00AF0410"/>
    <w:rsid w:val="00AF052C"/>
    <w:rsid w:val="00AF06BF"/>
    <w:rsid w:val="00AF0B3C"/>
    <w:rsid w:val="00AF0E5F"/>
    <w:rsid w:val="00AF16A6"/>
    <w:rsid w:val="00AF16F2"/>
    <w:rsid w:val="00AF19C3"/>
    <w:rsid w:val="00AF2229"/>
    <w:rsid w:val="00AF28B9"/>
    <w:rsid w:val="00AF2D54"/>
    <w:rsid w:val="00AF2F3C"/>
    <w:rsid w:val="00AF3458"/>
    <w:rsid w:val="00AF3F7B"/>
    <w:rsid w:val="00AF413D"/>
    <w:rsid w:val="00AF42B4"/>
    <w:rsid w:val="00AF44BA"/>
    <w:rsid w:val="00AF4B8A"/>
    <w:rsid w:val="00AF4F1B"/>
    <w:rsid w:val="00AF53AD"/>
    <w:rsid w:val="00AF59CD"/>
    <w:rsid w:val="00AF5EC6"/>
    <w:rsid w:val="00AF64F5"/>
    <w:rsid w:val="00AF6874"/>
    <w:rsid w:val="00AF6ABE"/>
    <w:rsid w:val="00AF6C38"/>
    <w:rsid w:val="00AF6E8A"/>
    <w:rsid w:val="00AF7030"/>
    <w:rsid w:val="00AF7213"/>
    <w:rsid w:val="00AF7771"/>
    <w:rsid w:val="00AF7773"/>
    <w:rsid w:val="00AF78EB"/>
    <w:rsid w:val="00AF79AD"/>
    <w:rsid w:val="00AF7D92"/>
    <w:rsid w:val="00AF7ECC"/>
    <w:rsid w:val="00B0007F"/>
    <w:rsid w:val="00B00334"/>
    <w:rsid w:val="00B0078E"/>
    <w:rsid w:val="00B011CC"/>
    <w:rsid w:val="00B0174B"/>
    <w:rsid w:val="00B01B3E"/>
    <w:rsid w:val="00B01C87"/>
    <w:rsid w:val="00B02548"/>
    <w:rsid w:val="00B02BF1"/>
    <w:rsid w:val="00B03626"/>
    <w:rsid w:val="00B03F09"/>
    <w:rsid w:val="00B04004"/>
    <w:rsid w:val="00B04048"/>
    <w:rsid w:val="00B0411E"/>
    <w:rsid w:val="00B042DA"/>
    <w:rsid w:val="00B04F3D"/>
    <w:rsid w:val="00B05702"/>
    <w:rsid w:val="00B05D0C"/>
    <w:rsid w:val="00B0627C"/>
    <w:rsid w:val="00B06DD9"/>
    <w:rsid w:val="00B07210"/>
    <w:rsid w:val="00B07293"/>
    <w:rsid w:val="00B077D5"/>
    <w:rsid w:val="00B07CD6"/>
    <w:rsid w:val="00B07E52"/>
    <w:rsid w:val="00B10010"/>
    <w:rsid w:val="00B10F76"/>
    <w:rsid w:val="00B11687"/>
    <w:rsid w:val="00B11775"/>
    <w:rsid w:val="00B11A53"/>
    <w:rsid w:val="00B11E0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341"/>
    <w:rsid w:val="00B1746F"/>
    <w:rsid w:val="00B177D5"/>
    <w:rsid w:val="00B17987"/>
    <w:rsid w:val="00B17E8D"/>
    <w:rsid w:val="00B17ECA"/>
    <w:rsid w:val="00B20725"/>
    <w:rsid w:val="00B2087E"/>
    <w:rsid w:val="00B20B11"/>
    <w:rsid w:val="00B20B94"/>
    <w:rsid w:val="00B2110D"/>
    <w:rsid w:val="00B21CE2"/>
    <w:rsid w:val="00B2224C"/>
    <w:rsid w:val="00B224CE"/>
    <w:rsid w:val="00B22690"/>
    <w:rsid w:val="00B22A61"/>
    <w:rsid w:val="00B22EC5"/>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45A"/>
    <w:rsid w:val="00B40A96"/>
    <w:rsid w:val="00B40D8C"/>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1F0"/>
    <w:rsid w:val="00B543D8"/>
    <w:rsid w:val="00B54512"/>
    <w:rsid w:val="00B54581"/>
    <w:rsid w:val="00B545C7"/>
    <w:rsid w:val="00B548C2"/>
    <w:rsid w:val="00B54B6A"/>
    <w:rsid w:val="00B55428"/>
    <w:rsid w:val="00B556C5"/>
    <w:rsid w:val="00B561C3"/>
    <w:rsid w:val="00B562AF"/>
    <w:rsid w:val="00B56E51"/>
    <w:rsid w:val="00B570BF"/>
    <w:rsid w:val="00B5789A"/>
    <w:rsid w:val="00B578E9"/>
    <w:rsid w:val="00B60471"/>
    <w:rsid w:val="00B60B8F"/>
    <w:rsid w:val="00B60CAA"/>
    <w:rsid w:val="00B61138"/>
    <w:rsid w:val="00B62561"/>
    <w:rsid w:val="00B625CC"/>
    <w:rsid w:val="00B629AD"/>
    <w:rsid w:val="00B62A7F"/>
    <w:rsid w:val="00B62D97"/>
    <w:rsid w:val="00B62EB7"/>
    <w:rsid w:val="00B62F90"/>
    <w:rsid w:val="00B63337"/>
    <w:rsid w:val="00B6369F"/>
    <w:rsid w:val="00B639B9"/>
    <w:rsid w:val="00B639D7"/>
    <w:rsid w:val="00B64582"/>
    <w:rsid w:val="00B648A4"/>
    <w:rsid w:val="00B64AA1"/>
    <w:rsid w:val="00B64AA7"/>
    <w:rsid w:val="00B64CC1"/>
    <w:rsid w:val="00B6512E"/>
    <w:rsid w:val="00B65452"/>
    <w:rsid w:val="00B65770"/>
    <w:rsid w:val="00B65CA7"/>
    <w:rsid w:val="00B6622E"/>
    <w:rsid w:val="00B664BF"/>
    <w:rsid w:val="00B66594"/>
    <w:rsid w:val="00B66B0E"/>
    <w:rsid w:val="00B66C7C"/>
    <w:rsid w:val="00B66F21"/>
    <w:rsid w:val="00B672FD"/>
    <w:rsid w:val="00B6764F"/>
    <w:rsid w:val="00B676EC"/>
    <w:rsid w:val="00B67805"/>
    <w:rsid w:val="00B7002F"/>
    <w:rsid w:val="00B70106"/>
    <w:rsid w:val="00B701B5"/>
    <w:rsid w:val="00B701FE"/>
    <w:rsid w:val="00B70297"/>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86B"/>
    <w:rsid w:val="00B81D33"/>
    <w:rsid w:val="00B81DF7"/>
    <w:rsid w:val="00B81FDC"/>
    <w:rsid w:val="00B82613"/>
    <w:rsid w:val="00B828B5"/>
    <w:rsid w:val="00B82ED8"/>
    <w:rsid w:val="00B82F2F"/>
    <w:rsid w:val="00B831FB"/>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6976"/>
    <w:rsid w:val="00B875D5"/>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5BE"/>
    <w:rsid w:val="00B97CA3"/>
    <w:rsid w:val="00BA0060"/>
    <w:rsid w:val="00BA1104"/>
    <w:rsid w:val="00BA167C"/>
    <w:rsid w:val="00BA1686"/>
    <w:rsid w:val="00BA1872"/>
    <w:rsid w:val="00BA1913"/>
    <w:rsid w:val="00BA1A43"/>
    <w:rsid w:val="00BA27C9"/>
    <w:rsid w:val="00BA2BC9"/>
    <w:rsid w:val="00BA301A"/>
    <w:rsid w:val="00BA3707"/>
    <w:rsid w:val="00BA405C"/>
    <w:rsid w:val="00BA4291"/>
    <w:rsid w:val="00BA43F3"/>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0821"/>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A12"/>
    <w:rsid w:val="00BB5D1C"/>
    <w:rsid w:val="00BB6216"/>
    <w:rsid w:val="00BB6552"/>
    <w:rsid w:val="00BB65E0"/>
    <w:rsid w:val="00BB6826"/>
    <w:rsid w:val="00BB6B9B"/>
    <w:rsid w:val="00BB6F45"/>
    <w:rsid w:val="00BB7019"/>
    <w:rsid w:val="00BB754F"/>
    <w:rsid w:val="00BB7E5B"/>
    <w:rsid w:val="00BB7FF0"/>
    <w:rsid w:val="00BC0058"/>
    <w:rsid w:val="00BC07D4"/>
    <w:rsid w:val="00BC0A5D"/>
    <w:rsid w:val="00BC0BE3"/>
    <w:rsid w:val="00BC0EA3"/>
    <w:rsid w:val="00BC10B2"/>
    <w:rsid w:val="00BC1468"/>
    <w:rsid w:val="00BC1658"/>
    <w:rsid w:val="00BC1AD9"/>
    <w:rsid w:val="00BC1B7A"/>
    <w:rsid w:val="00BC25C0"/>
    <w:rsid w:val="00BC2D2E"/>
    <w:rsid w:val="00BC2F7D"/>
    <w:rsid w:val="00BC31C8"/>
    <w:rsid w:val="00BC3257"/>
    <w:rsid w:val="00BC32E7"/>
    <w:rsid w:val="00BC360B"/>
    <w:rsid w:val="00BC37DE"/>
    <w:rsid w:val="00BC4C55"/>
    <w:rsid w:val="00BC4D35"/>
    <w:rsid w:val="00BC4F81"/>
    <w:rsid w:val="00BC5670"/>
    <w:rsid w:val="00BC58B9"/>
    <w:rsid w:val="00BC58E8"/>
    <w:rsid w:val="00BC5D69"/>
    <w:rsid w:val="00BC5DF5"/>
    <w:rsid w:val="00BC60AC"/>
    <w:rsid w:val="00BC6461"/>
    <w:rsid w:val="00BC676D"/>
    <w:rsid w:val="00BC6858"/>
    <w:rsid w:val="00BC69D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123"/>
    <w:rsid w:val="00BD5200"/>
    <w:rsid w:val="00BD531A"/>
    <w:rsid w:val="00BD541B"/>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634"/>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5C37"/>
    <w:rsid w:val="00BE608B"/>
    <w:rsid w:val="00BE631E"/>
    <w:rsid w:val="00BE6BEC"/>
    <w:rsid w:val="00BE71A7"/>
    <w:rsid w:val="00BF01D9"/>
    <w:rsid w:val="00BF01F8"/>
    <w:rsid w:val="00BF0871"/>
    <w:rsid w:val="00BF09F0"/>
    <w:rsid w:val="00BF0B47"/>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9B9"/>
    <w:rsid w:val="00BF4BC7"/>
    <w:rsid w:val="00BF4EA9"/>
    <w:rsid w:val="00BF5038"/>
    <w:rsid w:val="00BF539D"/>
    <w:rsid w:val="00BF5C5E"/>
    <w:rsid w:val="00BF5F94"/>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2B74"/>
    <w:rsid w:val="00C03309"/>
    <w:rsid w:val="00C037E0"/>
    <w:rsid w:val="00C03853"/>
    <w:rsid w:val="00C0395F"/>
    <w:rsid w:val="00C03B6B"/>
    <w:rsid w:val="00C03E8A"/>
    <w:rsid w:val="00C04112"/>
    <w:rsid w:val="00C04B14"/>
    <w:rsid w:val="00C04C89"/>
    <w:rsid w:val="00C04E8D"/>
    <w:rsid w:val="00C04F47"/>
    <w:rsid w:val="00C0506E"/>
    <w:rsid w:val="00C0508E"/>
    <w:rsid w:val="00C052E5"/>
    <w:rsid w:val="00C05A3E"/>
    <w:rsid w:val="00C05B5F"/>
    <w:rsid w:val="00C05E5E"/>
    <w:rsid w:val="00C0620A"/>
    <w:rsid w:val="00C065E2"/>
    <w:rsid w:val="00C067BF"/>
    <w:rsid w:val="00C072FE"/>
    <w:rsid w:val="00C07B34"/>
    <w:rsid w:val="00C07FC1"/>
    <w:rsid w:val="00C1008E"/>
    <w:rsid w:val="00C10AB4"/>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B39"/>
    <w:rsid w:val="00C14C53"/>
    <w:rsid w:val="00C1571F"/>
    <w:rsid w:val="00C15BB1"/>
    <w:rsid w:val="00C15D8C"/>
    <w:rsid w:val="00C15D8E"/>
    <w:rsid w:val="00C16297"/>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C51"/>
    <w:rsid w:val="00C20FB2"/>
    <w:rsid w:val="00C2236B"/>
    <w:rsid w:val="00C2261D"/>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27DE6"/>
    <w:rsid w:val="00C30064"/>
    <w:rsid w:val="00C301A9"/>
    <w:rsid w:val="00C30585"/>
    <w:rsid w:val="00C307EF"/>
    <w:rsid w:val="00C308DB"/>
    <w:rsid w:val="00C30ABC"/>
    <w:rsid w:val="00C30B60"/>
    <w:rsid w:val="00C3104C"/>
    <w:rsid w:val="00C311C2"/>
    <w:rsid w:val="00C31786"/>
    <w:rsid w:val="00C317AE"/>
    <w:rsid w:val="00C3194D"/>
    <w:rsid w:val="00C31D14"/>
    <w:rsid w:val="00C31FAA"/>
    <w:rsid w:val="00C3225E"/>
    <w:rsid w:val="00C3235C"/>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4C3"/>
    <w:rsid w:val="00C41524"/>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583"/>
    <w:rsid w:val="00C44641"/>
    <w:rsid w:val="00C44D24"/>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9C0"/>
    <w:rsid w:val="00C54E4D"/>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0F34"/>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04C"/>
    <w:rsid w:val="00C6756F"/>
    <w:rsid w:val="00C6791E"/>
    <w:rsid w:val="00C67C9C"/>
    <w:rsid w:val="00C67E40"/>
    <w:rsid w:val="00C70038"/>
    <w:rsid w:val="00C70084"/>
    <w:rsid w:val="00C70519"/>
    <w:rsid w:val="00C70847"/>
    <w:rsid w:val="00C7090B"/>
    <w:rsid w:val="00C70E10"/>
    <w:rsid w:val="00C71400"/>
    <w:rsid w:val="00C71550"/>
    <w:rsid w:val="00C71C2B"/>
    <w:rsid w:val="00C71E44"/>
    <w:rsid w:val="00C71EB7"/>
    <w:rsid w:val="00C7235B"/>
    <w:rsid w:val="00C72854"/>
    <w:rsid w:val="00C7286A"/>
    <w:rsid w:val="00C72E18"/>
    <w:rsid w:val="00C72F96"/>
    <w:rsid w:val="00C731AD"/>
    <w:rsid w:val="00C73417"/>
    <w:rsid w:val="00C7380B"/>
    <w:rsid w:val="00C73B0A"/>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8BC"/>
    <w:rsid w:val="00C81DE3"/>
    <w:rsid w:val="00C820D2"/>
    <w:rsid w:val="00C825A0"/>
    <w:rsid w:val="00C827F9"/>
    <w:rsid w:val="00C828C3"/>
    <w:rsid w:val="00C82998"/>
    <w:rsid w:val="00C82E22"/>
    <w:rsid w:val="00C82FEE"/>
    <w:rsid w:val="00C83D9C"/>
    <w:rsid w:val="00C848E3"/>
    <w:rsid w:val="00C84D39"/>
    <w:rsid w:val="00C84F63"/>
    <w:rsid w:val="00C85277"/>
    <w:rsid w:val="00C85806"/>
    <w:rsid w:val="00C85CFA"/>
    <w:rsid w:val="00C85D76"/>
    <w:rsid w:val="00C863DE"/>
    <w:rsid w:val="00C86EB8"/>
    <w:rsid w:val="00C873AC"/>
    <w:rsid w:val="00C8759E"/>
    <w:rsid w:val="00C8775C"/>
    <w:rsid w:val="00C8779C"/>
    <w:rsid w:val="00C87DA6"/>
    <w:rsid w:val="00C87F51"/>
    <w:rsid w:val="00C90203"/>
    <w:rsid w:val="00C9055D"/>
    <w:rsid w:val="00C90E58"/>
    <w:rsid w:val="00C91857"/>
    <w:rsid w:val="00C9213B"/>
    <w:rsid w:val="00C921CD"/>
    <w:rsid w:val="00C92B69"/>
    <w:rsid w:val="00C92D2C"/>
    <w:rsid w:val="00C93462"/>
    <w:rsid w:val="00C936F3"/>
    <w:rsid w:val="00C93824"/>
    <w:rsid w:val="00C93C1F"/>
    <w:rsid w:val="00C94384"/>
    <w:rsid w:val="00C94A34"/>
    <w:rsid w:val="00C94C2B"/>
    <w:rsid w:val="00C94F73"/>
    <w:rsid w:val="00C95609"/>
    <w:rsid w:val="00C95D86"/>
    <w:rsid w:val="00C968F1"/>
    <w:rsid w:val="00C96F79"/>
    <w:rsid w:val="00C9779C"/>
    <w:rsid w:val="00C97CF9"/>
    <w:rsid w:val="00CA004C"/>
    <w:rsid w:val="00CA17DD"/>
    <w:rsid w:val="00CA1863"/>
    <w:rsid w:val="00CA1941"/>
    <w:rsid w:val="00CA23D5"/>
    <w:rsid w:val="00CA2542"/>
    <w:rsid w:val="00CA2663"/>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B2B"/>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5B2"/>
    <w:rsid w:val="00CB2794"/>
    <w:rsid w:val="00CB2A71"/>
    <w:rsid w:val="00CB2BE9"/>
    <w:rsid w:val="00CB2F31"/>
    <w:rsid w:val="00CB33E7"/>
    <w:rsid w:val="00CB36E7"/>
    <w:rsid w:val="00CB608F"/>
    <w:rsid w:val="00CB6795"/>
    <w:rsid w:val="00CB694C"/>
    <w:rsid w:val="00CB71F8"/>
    <w:rsid w:val="00CB7284"/>
    <w:rsid w:val="00CB7603"/>
    <w:rsid w:val="00CC11E6"/>
    <w:rsid w:val="00CC14D9"/>
    <w:rsid w:val="00CC17A5"/>
    <w:rsid w:val="00CC17EA"/>
    <w:rsid w:val="00CC180A"/>
    <w:rsid w:val="00CC19DE"/>
    <w:rsid w:val="00CC1F3A"/>
    <w:rsid w:val="00CC26DB"/>
    <w:rsid w:val="00CC275C"/>
    <w:rsid w:val="00CC300C"/>
    <w:rsid w:val="00CC32B2"/>
    <w:rsid w:val="00CC3399"/>
    <w:rsid w:val="00CC35AE"/>
    <w:rsid w:val="00CC3A26"/>
    <w:rsid w:val="00CC3B5D"/>
    <w:rsid w:val="00CC3DAA"/>
    <w:rsid w:val="00CC4C2C"/>
    <w:rsid w:val="00CC5057"/>
    <w:rsid w:val="00CC5589"/>
    <w:rsid w:val="00CC573A"/>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0B1"/>
    <w:rsid w:val="00CD121E"/>
    <w:rsid w:val="00CD12C5"/>
    <w:rsid w:val="00CD1338"/>
    <w:rsid w:val="00CD166C"/>
    <w:rsid w:val="00CD16A4"/>
    <w:rsid w:val="00CD16C6"/>
    <w:rsid w:val="00CD185D"/>
    <w:rsid w:val="00CD2727"/>
    <w:rsid w:val="00CD28F0"/>
    <w:rsid w:val="00CD2BF2"/>
    <w:rsid w:val="00CD3158"/>
    <w:rsid w:val="00CD3598"/>
    <w:rsid w:val="00CD3613"/>
    <w:rsid w:val="00CD392A"/>
    <w:rsid w:val="00CD3C39"/>
    <w:rsid w:val="00CD3ED8"/>
    <w:rsid w:val="00CD3FBF"/>
    <w:rsid w:val="00CD4103"/>
    <w:rsid w:val="00CD43C4"/>
    <w:rsid w:val="00CD497A"/>
    <w:rsid w:val="00CD49B9"/>
    <w:rsid w:val="00CD5653"/>
    <w:rsid w:val="00CD5AB8"/>
    <w:rsid w:val="00CD60B1"/>
    <w:rsid w:val="00CD6555"/>
    <w:rsid w:val="00CD71AF"/>
    <w:rsid w:val="00CD720C"/>
    <w:rsid w:val="00CD75E5"/>
    <w:rsid w:val="00CD761D"/>
    <w:rsid w:val="00CD76B5"/>
    <w:rsid w:val="00CD7785"/>
    <w:rsid w:val="00CD78B9"/>
    <w:rsid w:val="00CE19AA"/>
    <w:rsid w:val="00CE1B49"/>
    <w:rsid w:val="00CE1CA5"/>
    <w:rsid w:val="00CE1D01"/>
    <w:rsid w:val="00CE1E1E"/>
    <w:rsid w:val="00CE2323"/>
    <w:rsid w:val="00CE2346"/>
    <w:rsid w:val="00CE2368"/>
    <w:rsid w:val="00CE2C8D"/>
    <w:rsid w:val="00CE2CDA"/>
    <w:rsid w:val="00CE30A4"/>
    <w:rsid w:val="00CE3132"/>
    <w:rsid w:val="00CE316D"/>
    <w:rsid w:val="00CE3515"/>
    <w:rsid w:val="00CE3A47"/>
    <w:rsid w:val="00CE3A59"/>
    <w:rsid w:val="00CE4323"/>
    <w:rsid w:val="00CE5981"/>
    <w:rsid w:val="00CE5ABC"/>
    <w:rsid w:val="00CE61AE"/>
    <w:rsid w:val="00CE6F0F"/>
    <w:rsid w:val="00CE7115"/>
    <w:rsid w:val="00CE73B4"/>
    <w:rsid w:val="00CE79FE"/>
    <w:rsid w:val="00CE7D66"/>
    <w:rsid w:val="00CF002F"/>
    <w:rsid w:val="00CF0246"/>
    <w:rsid w:val="00CF031B"/>
    <w:rsid w:val="00CF11F6"/>
    <w:rsid w:val="00CF14D2"/>
    <w:rsid w:val="00CF1875"/>
    <w:rsid w:val="00CF1924"/>
    <w:rsid w:val="00CF1D08"/>
    <w:rsid w:val="00CF20B7"/>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A5C"/>
    <w:rsid w:val="00CF7E96"/>
    <w:rsid w:val="00D001F9"/>
    <w:rsid w:val="00D0036E"/>
    <w:rsid w:val="00D00BB7"/>
    <w:rsid w:val="00D00CE5"/>
    <w:rsid w:val="00D00D6C"/>
    <w:rsid w:val="00D0141F"/>
    <w:rsid w:val="00D01EAD"/>
    <w:rsid w:val="00D01FEA"/>
    <w:rsid w:val="00D0344F"/>
    <w:rsid w:val="00D035B9"/>
    <w:rsid w:val="00D040B7"/>
    <w:rsid w:val="00D0431C"/>
    <w:rsid w:val="00D047A8"/>
    <w:rsid w:val="00D04AF1"/>
    <w:rsid w:val="00D04E76"/>
    <w:rsid w:val="00D05AF6"/>
    <w:rsid w:val="00D060FF"/>
    <w:rsid w:val="00D064E8"/>
    <w:rsid w:val="00D06546"/>
    <w:rsid w:val="00D06572"/>
    <w:rsid w:val="00D065CD"/>
    <w:rsid w:val="00D066B5"/>
    <w:rsid w:val="00D06811"/>
    <w:rsid w:val="00D06B37"/>
    <w:rsid w:val="00D06D84"/>
    <w:rsid w:val="00D0724B"/>
    <w:rsid w:val="00D07959"/>
    <w:rsid w:val="00D07A60"/>
    <w:rsid w:val="00D1053E"/>
    <w:rsid w:val="00D10818"/>
    <w:rsid w:val="00D1161D"/>
    <w:rsid w:val="00D12325"/>
    <w:rsid w:val="00D1252B"/>
    <w:rsid w:val="00D12761"/>
    <w:rsid w:val="00D12C39"/>
    <w:rsid w:val="00D13281"/>
    <w:rsid w:val="00D13299"/>
    <w:rsid w:val="00D13D2D"/>
    <w:rsid w:val="00D142E7"/>
    <w:rsid w:val="00D14487"/>
    <w:rsid w:val="00D14844"/>
    <w:rsid w:val="00D14C0A"/>
    <w:rsid w:val="00D15D47"/>
    <w:rsid w:val="00D15E7E"/>
    <w:rsid w:val="00D16058"/>
    <w:rsid w:val="00D16862"/>
    <w:rsid w:val="00D16FDD"/>
    <w:rsid w:val="00D174F5"/>
    <w:rsid w:val="00D17601"/>
    <w:rsid w:val="00D179BA"/>
    <w:rsid w:val="00D20016"/>
    <w:rsid w:val="00D20075"/>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6AA8"/>
    <w:rsid w:val="00D27794"/>
    <w:rsid w:val="00D27B8B"/>
    <w:rsid w:val="00D27C81"/>
    <w:rsid w:val="00D27D59"/>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539"/>
    <w:rsid w:val="00D37910"/>
    <w:rsid w:val="00D37A1A"/>
    <w:rsid w:val="00D37B4A"/>
    <w:rsid w:val="00D37F68"/>
    <w:rsid w:val="00D405EF"/>
    <w:rsid w:val="00D4081B"/>
    <w:rsid w:val="00D40968"/>
    <w:rsid w:val="00D40BDF"/>
    <w:rsid w:val="00D40DC8"/>
    <w:rsid w:val="00D40E1A"/>
    <w:rsid w:val="00D40E5E"/>
    <w:rsid w:val="00D413C3"/>
    <w:rsid w:val="00D419B4"/>
    <w:rsid w:val="00D41C28"/>
    <w:rsid w:val="00D42240"/>
    <w:rsid w:val="00D42352"/>
    <w:rsid w:val="00D427C3"/>
    <w:rsid w:val="00D42EB8"/>
    <w:rsid w:val="00D4321A"/>
    <w:rsid w:val="00D43BC5"/>
    <w:rsid w:val="00D43D3C"/>
    <w:rsid w:val="00D43E0B"/>
    <w:rsid w:val="00D43F56"/>
    <w:rsid w:val="00D440AD"/>
    <w:rsid w:val="00D441E2"/>
    <w:rsid w:val="00D44530"/>
    <w:rsid w:val="00D44932"/>
    <w:rsid w:val="00D44EBB"/>
    <w:rsid w:val="00D44FAF"/>
    <w:rsid w:val="00D4538B"/>
    <w:rsid w:val="00D458AE"/>
    <w:rsid w:val="00D459D4"/>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76C"/>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3FA"/>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291"/>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5DD"/>
    <w:rsid w:val="00D65892"/>
    <w:rsid w:val="00D65CB0"/>
    <w:rsid w:val="00D65D78"/>
    <w:rsid w:val="00D66490"/>
    <w:rsid w:val="00D66AAA"/>
    <w:rsid w:val="00D66B04"/>
    <w:rsid w:val="00D670FB"/>
    <w:rsid w:val="00D67BC5"/>
    <w:rsid w:val="00D7005B"/>
    <w:rsid w:val="00D7021B"/>
    <w:rsid w:val="00D70D33"/>
    <w:rsid w:val="00D713D0"/>
    <w:rsid w:val="00D71862"/>
    <w:rsid w:val="00D71C6A"/>
    <w:rsid w:val="00D71E7F"/>
    <w:rsid w:val="00D71FBA"/>
    <w:rsid w:val="00D7239B"/>
    <w:rsid w:val="00D72FE3"/>
    <w:rsid w:val="00D72FEE"/>
    <w:rsid w:val="00D73077"/>
    <w:rsid w:val="00D732C9"/>
    <w:rsid w:val="00D73363"/>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0FEC"/>
    <w:rsid w:val="00D815AD"/>
    <w:rsid w:val="00D81689"/>
    <w:rsid w:val="00D81F10"/>
    <w:rsid w:val="00D82059"/>
    <w:rsid w:val="00D826BB"/>
    <w:rsid w:val="00D82798"/>
    <w:rsid w:val="00D82BF2"/>
    <w:rsid w:val="00D82CB2"/>
    <w:rsid w:val="00D82F0A"/>
    <w:rsid w:val="00D831DA"/>
    <w:rsid w:val="00D8324D"/>
    <w:rsid w:val="00D832EC"/>
    <w:rsid w:val="00D838C9"/>
    <w:rsid w:val="00D83916"/>
    <w:rsid w:val="00D83C83"/>
    <w:rsid w:val="00D84A57"/>
    <w:rsid w:val="00D84DF3"/>
    <w:rsid w:val="00D84E7B"/>
    <w:rsid w:val="00D85F3E"/>
    <w:rsid w:val="00D86725"/>
    <w:rsid w:val="00D8695A"/>
    <w:rsid w:val="00D86A2E"/>
    <w:rsid w:val="00D86A8A"/>
    <w:rsid w:val="00D87307"/>
    <w:rsid w:val="00D874DF"/>
    <w:rsid w:val="00D8794E"/>
    <w:rsid w:val="00D87A12"/>
    <w:rsid w:val="00D9028C"/>
    <w:rsid w:val="00D9041F"/>
    <w:rsid w:val="00D90737"/>
    <w:rsid w:val="00D90D60"/>
    <w:rsid w:val="00D90E8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972A0"/>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2F8"/>
    <w:rsid w:val="00DA556C"/>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2456"/>
    <w:rsid w:val="00DB354E"/>
    <w:rsid w:val="00DB39D4"/>
    <w:rsid w:val="00DB3A47"/>
    <w:rsid w:val="00DB3BF7"/>
    <w:rsid w:val="00DB3D53"/>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2EB"/>
    <w:rsid w:val="00DC1EDB"/>
    <w:rsid w:val="00DC2135"/>
    <w:rsid w:val="00DC24D0"/>
    <w:rsid w:val="00DC2543"/>
    <w:rsid w:val="00DC286E"/>
    <w:rsid w:val="00DC318A"/>
    <w:rsid w:val="00DC371F"/>
    <w:rsid w:val="00DC3A9D"/>
    <w:rsid w:val="00DC4004"/>
    <w:rsid w:val="00DC4243"/>
    <w:rsid w:val="00DC5168"/>
    <w:rsid w:val="00DC5584"/>
    <w:rsid w:val="00DC55A1"/>
    <w:rsid w:val="00DC5ADC"/>
    <w:rsid w:val="00DC5B31"/>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47E7"/>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5FAF"/>
    <w:rsid w:val="00DE62A3"/>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B54"/>
    <w:rsid w:val="00DF3EBB"/>
    <w:rsid w:val="00DF41B2"/>
    <w:rsid w:val="00DF4359"/>
    <w:rsid w:val="00DF47ED"/>
    <w:rsid w:val="00DF4A33"/>
    <w:rsid w:val="00DF4E81"/>
    <w:rsid w:val="00DF56A4"/>
    <w:rsid w:val="00DF5B28"/>
    <w:rsid w:val="00DF6365"/>
    <w:rsid w:val="00DF6599"/>
    <w:rsid w:val="00DF6B52"/>
    <w:rsid w:val="00DF6E80"/>
    <w:rsid w:val="00DF7085"/>
    <w:rsid w:val="00DF7126"/>
    <w:rsid w:val="00DF73C1"/>
    <w:rsid w:val="00DF7511"/>
    <w:rsid w:val="00DF7751"/>
    <w:rsid w:val="00DF7C5F"/>
    <w:rsid w:val="00DF7F09"/>
    <w:rsid w:val="00E009B1"/>
    <w:rsid w:val="00E00AA9"/>
    <w:rsid w:val="00E00B50"/>
    <w:rsid w:val="00E00BC3"/>
    <w:rsid w:val="00E00C69"/>
    <w:rsid w:val="00E00DA6"/>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9E"/>
    <w:rsid w:val="00E04FF3"/>
    <w:rsid w:val="00E0540B"/>
    <w:rsid w:val="00E0576C"/>
    <w:rsid w:val="00E05946"/>
    <w:rsid w:val="00E059B1"/>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71"/>
    <w:rsid w:val="00E13EE4"/>
    <w:rsid w:val="00E14301"/>
    <w:rsid w:val="00E1474E"/>
    <w:rsid w:val="00E14940"/>
    <w:rsid w:val="00E14CBF"/>
    <w:rsid w:val="00E14E38"/>
    <w:rsid w:val="00E15404"/>
    <w:rsid w:val="00E15A44"/>
    <w:rsid w:val="00E16190"/>
    <w:rsid w:val="00E1619C"/>
    <w:rsid w:val="00E16463"/>
    <w:rsid w:val="00E16702"/>
    <w:rsid w:val="00E167EB"/>
    <w:rsid w:val="00E16F82"/>
    <w:rsid w:val="00E16F84"/>
    <w:rsid w:val="00E17F6F"/>
    <w:rsid w:val="00E20018"/>
    <w:rsid w:val="00E20B20"/>
    <w:rsid w:val="00E20B9B"/>
    <w:rsid w:val="00E20C5F"/>
    <w:rsid w:val="00E20D32"/>
    <w:rsid w:val="00E21303"/>
    <w:rsid w:val="00E21388"/>
    <w:rsid w:val="00E21F16"/>
    <w:rsid w:val="00E2203E"/>
    <w:rsid w:val="00E22550"/>
    <w:rsid w:val="00E22D75"/>
    <w:rsid w:val="00E22EDC"/>
    <w:rsid w:val="00E230A9"/>
    <w:rsid w:val="00E2329E"/>
    <w:rsid w:val="00E23605"/>
    <w:rsid w:val="00E239D1"/>
    <w:rsid w:val="00E243E4"/>
    <w:rsid w:val="00E246B9"/>
    <w:rsid w:val="00E24B9F"/>
    <w:rsid w:val="00E250C5"/>
    <w:rsid w:val="00E25BB4"/>
    <w:rsid w:val="00E25CCE"/>
    <w:rsid w:val="00E25DD8"/>
    <w:rsid w:val="00E262E9"/>
    <w:rsid w:val="00E263B8"/>
    <w:rsid w:val="00E26727"/>
    <w:rsid w:val="00E26970"/>
    <w:rsid w:val="00E26EB9"/>
    <w:rsid w:val="00E270A1"/>
    <w:rsid w:val="00E27205"/>
    <w:rsid w:val="00E2728F"/>
    <w:rsid w:val="00E272AF"/>
    <w:rsid w:val="00E274B9"/>
    <w:rsid w:val="00E27791"/>
    <w:rsid w:val="00E27DF0"/>
    <w:rsid w:val="00E30948"/>
    <w:rsid w:val="00E30CF7"/>
    <w:rsid w:val="00E30ED0"/>
    <w:rsid w:val="00E30F26"/>
    <w:rsid w:val="00E30F2D"/>
    <w:rsid w:val="00E319DB"/>
    <w:rsid w:val="00E31AFC"/>
    <w:rsid w:val="00E31D9D"/>
    <w:rsid w:val="00E31F8D"/>
    <w:rsid w:val="00E32054"/>
    <w:rsid w:val="00E3250F"/>
    <w:rsid w:val="00E325AD"/>
    <w:rsid w:val="00E328D7"/>
    <w:rsid w:val="00E328FA"/>
    <w:rsid w:val="00E329D9"/>
    <w:rsid w:val="00E32B80"/>
    <w:rsid w:val="00E32D6C"/>
    <w:rsid w:val="00E338A7"/>
    <w:rsid w:val="00E33995"/>
    <w:rsid w:val="00E3409E"/>
    <w:rsid w:val="00E342E6"/>
    <w:rsid w:val="00E34358"/>
    <w:rsid w:val="00E34F76"/>
    <w:rsid w:val="00E35926"/>
    <w:rsid w:val="00E35A80"/>
    <w:rsid w:val="00E35B5A"/>
    <w:rsid w:val="00E35DC9"/>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1B3A"/>
    <w:rsid w:val="00E42047"/>
    <w:rsid w:val="00E424F4"/>
    <w:rsid w:val="00E42737"/>
    <w:rsid w:val="00E4293C"/>
    <w:rsid w:val="00E43741"/>
    <w:rsid w:val="00E44007"/>
    <w:rsid w:val="00E4450A"/>
    <w:rsid w:val="00E44906"/>
    <w:rsid w:val="00E44F5D"/>
    <w:rsid w:val="00E44FDB"/>
    <w:rsid w:val="00E4573C"/>
    <w:rsid w:val="00E45AD9"/>
    <w:rsid w:val="00E45C77"/>
    <w:rsid w:val="00E45EA8"/>
    <w:rsid w:val="00E4608B"/>
    <w:rsid w:val="00E46805"/>
    <w:rsid w:val="00E46C9B"/>
    <w:rsid w:val="00E46D7F"/>
    <w:rsid w:val="00E46E73"/>
    <w:rsid w:val="00E46F30"/>
    <w:rsid w:val="00E501D3"/>
    <w:rsid w:val="00E50942"/>
    <w:rsid w:val="00E50E6D"/>
    <w:rsid w:val="00E522E9"/>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0FF0"/>
    <w:rsid w:val="00E61300"/>
    <w:rsid w:val="00E618B7"/>
    <w:rsid w:val="00E61FB1"/>
    <w:rsid w:val="00E62D5C"/>
    <w:rsid w:val="00E63340"/>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1D68"/>
    <w:rsid w:val="00E72009"/>
    <w:rsid w:val="00E724E9"/>
    <w:rsid w:val="00E72A27"/>
    <w:rsid w:val="00E72C2E"/>
    <w:rsid w:val="00E72C6B"/>
    <w:rsid w:val="00E73503"/>
    <w:rsid w:val="00E73AB7"/>
    <w:rsid w:val="00E73EC0"/>
    <w:rsid w:val="00E746EC"/>
    <w:rsid w:val="00E74F5D"/>
    <w:rsid w:val="00E75274"/>
    <w:rsid w:val="00E753DD"/>
    <w:rsid w:val="00E75718"/>
    <w:rsid w:val="00E75807"/>
    <w:rsid w:val="00E75BDC"/>
    <w:rsid w:val="00E75C45"/>
    <w:rsid w:val="00E75CE8"/>
    <w:rsid w:val="00E76034"/>
    <w:rsid w:val="00E76C98"/>
    <w:rsid w:val="00E77357"/>
    <w:rsid w:val="00E7781A"/>
    <w:rsid w:val="00E779D0"/>
    <w:rsid w:val="00E80440"/>
    <w:rsid w:val="00E808D7"/>
    <w:rsid w:val="00E80976"/>
    <w:rsid w:val="00E80AB8"/>
    <w:rsid w:val="00E81034"/>
    <w:rsid w:val="00E81148"/>
    <w:rsid w:val="00E81194"/>
    <w:rsid w:val="00E817E0"/>
    <w:rsid w:val="00E81B82"/>
    <w:rsid w:val="00E81E4C"/>
    <w:rsid w:val="00E81F1D"/>
    <w:rsid w:val="00E82059"/>
    <w:rsid w:val="00E82255"/>
    <w:rsid w:val="00E82D46"/>
    <w:rsid w:val="00E82D78"/>
    <w:rsid w:val="00E82EE4"/>
    <w:rsid w:val="00E831E7"/>
    <w:rsid w:val="00E838E0"/>
    <w:rsid w:val="00E83D49"/>
    <w:rsid w:val="00E841A0"/>
    <w:rsid w:val="00E843B5"/>
    <w:rsid w:val="00E8459A"/>
    <w:rsid w:val="00E8479F"/>
    <w:rsid w:val="00E84A3B"/>
    <w:rsid w:val="00E84BF2"/>
    <w:rsid w:val="00E85152"/>
    <w:rsid w:val="00E85307"/>
    <w:rsid w:val="00E858E5"/>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B65"/>
    <w:rsid w:val="00E91B8D"/>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4E1A"/>
    <w:rsid w:val="00E9566E"/>
    <w:rsid w:val="00E956F7"/>
    <w:rsid w:val="00E95BDF"/>
    <w:rsid w:val="00E9616B"/>
    <w:rsid w:val="00E9652E"/>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848"/>
    <w:rsid w:val="00EA2924"/>
    <w:rsid w:val="00EA29EB"/>
    <w:rsid w:val="00EA2C2A"/>
    <w:rsid w:val="00EA2D5D"/>
    <w:rsid w:val="00EA2DAE"/>
    <w:rsid w:val="00EA3B07"/>
    <w:rsid w:val="00EA3F87"/>
    <w:rsid w:val="00EA407B"/>
    <w:rsid w:val="00EA41DD"/>
    <w:rsid w:val="00EA46C6"/>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7E3"/>
    <w:rsid w:val="00EB0AFB"/>
    <w:rsid w:val="00EB0DD8"/>
    <w:rsid w:val="00EB0FBE"/>
    <w:rsid w:val="00EB121A"/>
    <w:rsid w:val="00EB1D47"/>
    <w:rsid w:val="00EB1F56"/>
    <w:rsid w:val="00EB2146"/>
    <w:rsid w:val="00EB2317"/>
    <w:rsid w:val="00EB23DB"/>
    <w:rsid w:val="00EB2568"/>
    <w:rsid w:val="00EB26C6"/>
    <w:rsid w:val="00EB279B"/>
    <w:rsid w:val="00EB27C9"/>
    <w:rsid w:val="00EB2ABB"/>
    <w:rsid w:val="00EB2B18"/>
    <w:rsid w:val="00EB2BF3"/>
    <w:rsid w:val="00EB3525"/>
    <w:rsid w:val="00EB39F5"/>
    <w:rsid w:val="00EB47A1"/>
    <w:rsid w:val="00EB481A"/>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B7998"/>
    <w:rsid w:val="00EC04EE"/>
    <w:rsid w:val="00EC0B66"/>
    <w:rsid w:val="00EC14B0"/>
    <w:rsid w:val="00EC17AD"/>
    <w:rsid w:val="00EC1927"/>
    <w:rsid w:val="00EC204E"/>
    <w:rsid w:val="00EC249E"/>
    <w:rsid w:val="00EC25C8"/>
    <w:rsid w:val="00EC2CFF"/>
    <w:rsid w:val="00EC2DFB"/>
    <w:rsid w:val="00EC2F6F"/>
    <w:rsid w:val="00EC301B"/>
    <w:rsid w:val="00EC30B9"/>
    <w:rsid w:val="00EC32E8"/>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3ECD"/>
    <w:rsid w:val="00ED4995"/>
    <w:rsid w:val="00ED4A6D"/>
    <w:rsid w:val="00ED4B8C"/>
    <w:rsid w:val="00ED5C13"/>
    <w:rsid w:val="00ED5CDE"/>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3D50"/>
    <w:rsid w:val="00EE4175"/>
    <w:rsid w:val="00EE41B8"/>
    <w:rsid w:val="00EE41C4"/>
    <w:rsid w:val="00EE4689"/>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12D"/>
    <w:rsid w:val="00EF1466"/>
    <w:rsid w:val="00EF1528"/>
    <w:rsid w:val="00EF1757"/>
    <w:rsid w:val="00EF17FD"/>
    <w:rsid w:val="00EF195E"/>
    <w:rsid w:val="00EF1FCB"/>
    <w:rsid w:val="00EF21C3"/>
    <w:rsid w:val="00EF2C14"/>
    <w:rsid w:val="00EF2E6B"/>
    <w:rsid w:val="00EF3017"/>
    <w:rsid w:val="00EF4114"/>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02B"/>
    <w:rsid w:val="00F031EE"/>
    <w:rsid w:val="00F03496"/>
    <w:rsid w:val="00F0354A"/>
    <w:rsid w:val="00F03C0E"/>
    <w:rsid w:val="00F03D7B"/>
    <w:rsid w:val="00F0415F"/>
    <w:rsid w:val="00F05759"/>
    <w:rsid w:val="00F058C3"/>
    <w:rsid w:val="00F058C7"/>
    <w:rsid w:val="00F05DF8"/>
    <w:rsid w:val="00F05E96"/>
    <w:rsid w:val="00F06008"/>
    <w:rsid w:val="00F064EC"/>
    <w:rsid w:val="00F07701"/>
    <w:rsid w:val="00F07F39"/>
    <w:rsid w:val="00F07F69"/>
    <w:rsid w:val="00F07F6F"/>
    <w:rsid w:val="00F103E0"/>
    <w:rsid w:val="00F10519"/>
    <w:rsid w:val="00F10CB9"/>
    <w:rsid w:val="00F10CC2"/>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18B"/>
    <w:rsid w:val="00F2041D"/>
    <w:rsid w:val="00F2052B"/>
    <w:rsid w:val="00F20F53"/>
    <w:rsid w:val="00F211CA"/>
    <w:rsid w:val="00F21A4E"/>
    <w:rsid w:val="00F22162"/>
    <w:rsid w:val="00F22183"/>
    <w:rsid w:val="00F2260F"/>
    <w:rsid w:val="00F22DDB"/>
    <w:rsid w:val="00F230AB"/>
    <w:rsid w:val="00F23951"/>
    <w:rsid w:val="00F23FAF"/>
    <w:rsid w:val="00F242AD"/>
    <w:rsid w:val="00F247F2"/>
    <w:rsid w:val="00F24912"/>
    <w:rsid w:val="00F2518F"/>
    <w:rsid w:val="00F252A8"/>
    <w:rsid w:val="00F255D9"/>
    <w:rsid w:val="00F25C5A"/>
    <w:rsid w:val="00F25E07"/>
    <w:rsid w:val="00F26276"/>
    <w:rsid w:val="00F265F7"/>
    <w:rsid w:val="00F266CE"/>
    <w:rsid w:val="00F26D0A"/>
    <w:rsid w:val="00F2702D"/>
    <w:rsid w:val="00F27696"/>
    <w:rsid w:val="00F27A81"/>
    <w:rsid w:val="00F27FA6"/>
    <w:rsid w:val="00F309FC"/>
    <w:rsid w:val="00F30ACE"/>
    <w:rsid w:val="00F30B7C"/>
    <w:rsid w:val="00F30D7B"/>
    <w:rsid w:val="00F3125C"/>
    <w:rsid w:val="00F31AC9"/>
    <w:rsid w:val="00F327A1"/>
    <w:rsid w:val="00F32BB3"/>
    <w:rsid w:val="00F32DE3"/>
    <w:rsid w:val="00F32EBB"/>
    <w:rsid w:val="00F3319E"/>
    <w:rsid w:val="00F33766"/>
    <w:rsid w:val="00F33DC8"/>
    <w:rsid w:val="00F34444"/>
    <w:rsid w:val="00F34686"/>
    <w:rsid w:val="00F34FE9"/>
    <w:rsid w:val="00F35149"/>
    <w:rsid w:val="00F35442"/>
    <w:rsid w:val="00F35893"/>
    <w:rsid w:val="00F36238"/>
    <w:rsid w:val="00F362DE"/>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06"/>
    <w:rsid w:val="00F559CB"/>
    <w:rsid w:val="00F55DC8"/>
    <w:rsid w:val="00F560FE"/>
    <w:rsid w:val="00F56BF9"/>
    <w:rsid w:val="00F570CD"/>
    <w:rsid w:val="00F6016A"/>
    <w:rsid w:val="00F608AD"/>
    <w:rsid w:val="00F608D8"/>
    <w:rsid w:val="00F60CD6"/>
    <w:rsid w:val="00F6111C"/>
    <w:rsid w:val="00F614C0"/>
    <w:rsid w:val="00F61647"/>
    <w:rsid w:val="00F616B7"/>
    <w:rsid w:val="00F61C68"/>
    <w:rsid w:val="00F6205F"/>
    <w:rsid w:val="00F622F2"/>
    <w:rsid w:val="00F62B99"/>
    <w:rsid w:val="00F62D5E"/>
    <w:rsid w:val="00F62ED2"/>
    <w:rsid w:val="00F63455"/>
    <w:rsid w:val="00F63AAD"/>
    <w:rsid w:val="00F63AFC"/>
    <w:rsid w:val="00F63B12"/>
    <w:rsid w:val="00F63CBA"/>
    <w:rsid w:val="00F6423B"/>
    <w:rsid w:val="00F64279"/>
    <w:rsid w:val="00F64362"/>
    <w:rsid w:val="00F64B92"/>
    <w:rsid w:val="00F65236"/>
    <w:rsid w:val="00F657CF"/>
    <w:rsid w:val="00F65808"/>
    <w:rsid w:val="00F6587D"/>
    <w:rsid w:val="00F658AC"/>
    <w:rsid w:val="00F65DF6"/>
    <w:rsid w:val="00F669E7"/>
    <w:rsid w:val="00F66A00"/>
    <w:rsid w:val="00F66CFB"/>
    <w:rsid w:val="00F66EB3"/>
    <w:rsid w:val="00F6752D"/>
    <w:rsid w:val="00F70B84"/>
    <w:rsid w:val="00F70C73"/>
    <w:rsid w:val="00F713A3"/>
    <w:rsid w:val="00F71555"/>
    <w:rsid w:val="00F715CB"/>
    <w:rsid w:val="00F71A8F"/>
    <w:rsid w:val="00F71AB8"/>
    <w:rsid w:val="00F71EE8"/>
    <w:rsid w:val="00F72AC2"/>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ED2"/>
    <w:rsid w:val="00F83FFA"/>
    <w:rsid w:val="00F841B0"/>
    <w:rsid w:val="00F841C0"/>
    <w:rsid w:val="00F841FB"/>
    <w:rsid w:val="00F84421"/>
    <w:rsid w:val="00F8449B"/>
    <w:rsid w:val="00F84A57"/>
    <w:rsid w:val="00F84B44"/>
    <w:rsid w:val="00F84B7B"/>
    <w:rsid w:val="00F84C8D"/>
    <w:rsid w:val="00F84CE7"/>
    <w:rsid w:val="00F85047"/>
    <w:rsid w:val="00F855C8"/>
    <w:rsid w:val="00F85691"/>
    <w:rsid w:val="00F8582E"/>
    <w:rsid w:val="00F8586B"/>
    <w:rsid w:val="00F85CD1"/>
    <w:rsid w:val="00F87032"/>
    <w:rsid w:val="00F87094"/>
    <w:rsid w:val="00F87267"/>
    <w:rsid w:val="00F87AB3"/>
    <w:rsid w:val="00F87F45"/>
    <w:rsid w:val="00F9014A"/>
    <w:rsid w:val="00F901B0"/>
    <w:rsid w:val="00F9052D"/>
    <w:rsid w:val="00F907C0"/>
    <w:rsid w:val="00F90D0F"/>
    <w:rsid w:val="00F91086"/>
    <w:rsid w:val="00F913B2"/>
    <w:rsid w:val="00F913DC"/>
    <w:rsid w:val="00F914CF"/>
    <w:rsid w:val="00F91DDA"/>
    <w:rsid w:val="00F920D2"/>
    <w:rsid w:val="00F9258B"/>
    <w:rsid w:val="00F92F9E"/>
    <w:rsid w:val="00F93429"/>
    <w:rsid w:val="00F9397A"/>
    <w:rsid w:val="00F93A37"/>
    <w:rsid w:val="00F93D1F"/>
    <w:rsid w:val="00F94182"/>
    <w:rsid w:val="00F9431F"/>
    <w:rsid w:val="00F944D9"/>
    <w:rsid w:val="00F9467E"/>
    <w:rsid w:val="00F947B9"/>
    <w:rsid w:val="00F94A02"/>
    <w:rsid w:val="00F94A3B"/>
    <w:rsid w:val="00F94AB1"/>
    <w:rsid w:val="00F94DB3"/>
    <w:rsid w:val="00F96339"/>
    <w:rsid w:val="00F9648D"/>
    <w:rsid w:val="00F96500"/>
    <w:rsid w:val="00F966CE"/>
    <w:rsid w:val="00F971FC"/>
    <w:rsid w:val="00F972B9"/>
    <w:rsid w:val="00F9735A"/>
    <w:rsid w:val="00FA00AF"/>
    <w:rsid w:val="00FA03BB"/>
    <w:rsid w:val="00FA055B"/>
    <w:rsid w:val="00FA06B6"/>
    <w:rsid w:val="00FA0CA9"/>
    <w:rsid w:val="00FA1A11"/>
    <w:rsid w:val="00FA1E01"/>
    <w:rsid w:val="00FA2C35"/>
    <w:rsid w:val="00FA2C75"/>
    <w:rsid w:val="00FA31E7"/>
    <w:rsid w:val="00FA336F"/>
    <w:rsid w:val="00FA3673"/>
    <w:rsid w:val="00FA413A"/>
    <w:rsid w:val="00FA4144"/>
    <w:rsid w:val="00FA4809"/>
    <w:rsid w:val="00FA4AC0"/>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24D"/>
    <w:rsid w:val="00FB19D3"/>
    <w:rsid w:val="00FB1B46"/>
    <w:rsid w:val="00FB1BEC"/>
    <w:rsid w:val="00FB20E2"/>
    <w:rsid w:val="00FB22D7"/>
    <w:rsid w:val="00FB2379"/>
    <w:rsid w:val="00FB240E"/>
    <w:rsid w:val="00FB265C"/>
    <w:rsid w:val="00FB2894"/>
    <w:rsid w:val="00FB2CE7"/>
    <w:rsid w:val="00FB2D32"/>
    <w:rsid w:val="00FB33A0"/>
    <w:rsid w:val="00FB3BF3"/>
    <w:rsid w:val="00FB3C95"/>
    <w:rsid w:val="00FB3CB7"/>
    <w:rsid w:val="00FB3D16"/>
    <w:rsid w:val="00FB42BE"/>
    <w:rsid w:val="00FB452D"/>
    <w:rsid w:val="00FB4B8A"/>
    <w:rsid w:val="00FB4D84"/>
    <w:rsid w:val="00FB4E42"/>
    <w:rsid w:val="00FB5152"/>
    <w:rsid w:val="00FB56A8"/>
    <w:rsid w:val="00FB5957"/>
    <w:rsid w:val="00FB5F8F"/>
    <w:rsid w:val="00FB680E"/>
    <w:rsid w:val="00FB6B73"/>
    <w:rsid w:val="00FB706D"/>
    <w:rsid w:val="00FB770C"/>
    <w:rsid w:val="00FB7A0B"/>
    <w:rsid w:val="00FC0065"/>
    <w:rsid w:val="00FC0148"/>
    <w:rsid w:val="00FC0357"/>
    <w:rsid w:val="00FC062F"/>
    <w:rsid w:val="00FC0754"/>
    <w:rsid w:val="00FC0A9D"/>
    <w:rsid w:val="00FC0C2F"/>
    <w:rsid w:val="00FC1E7D"/>
    <w:rsid w:val="00FC207C"/>
    <w:rsid w:val="00FC2232"/>
    <w:rsid w:val="00FC2370"/>
    <w:rsid w:val="00FC23DB"/>
    <w:rsid w:val="00FC2C74"/>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62B"/>
    <w:rsid w:val="00FD7FFD"/>
    <w:rsid w:val="00FE002E"/>
    <w:rsid w:val="00FE0F6C"/>
    <w:rsid w:val="00FE2398"/>
    <w:rsid w:val="00FE2A1C"/>
    <w:rsid w:val="00FE322C"/>
    <w:rsid w:val="00FE37EC"/>
    <w:rsid w:val="00FE3CCF"/>
    <w:rsid w:val="00FE3EAD"/>
    <w:rsid w:val="00FE4ECB"/>
    <w:rsid w:val="00FE515A"/>
    <w:rsid w:val="00FE5421"/>
    <w:rsid w:val="00FE5624"/>
    <w:rsid w:val="00FE5AEE"/>
    <w:rsid w:val="00FE5D2C"/>
    <w:rsid w:val="00FE5FBF"/>
    <w:rsid w:val="00FE6016"/>
    <w:rsid w:val="00FE61F1"/>
    <w:rsid w:val="00FE6309"/>
    <w:rsid w:val="00FE638C"/>
    <w:rsid w:val="00FE69DD"/>
    <w:rsid w:val="00FE6C25"/>
    <w:rsid w:val="00FE7FC9"/>
    <w:rsid w:val="00FF007B"/>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78A"/>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7318535">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5782762">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621700">
      <w:bodyDiv w:val="1"/>
      <w:marLeft w:val="0"/>
      <w:marRight w:val="0"/>
      <w:marTop w:val="0"/>
      <w:marBottom w:val="0"/>
      <w:divBdr>
        <w:top w:val="none" w:sz="0" w:space="0" w:color="auto"/>
        <w:left w:val="none" w:sz="0" w:space="0" w:color="auto"/>
        <w:bottom w:val="none" w:sz="0" w:space="0" w:color="auto"/>
        <w:right w:val="none" w:sz="0" w:space="0" w:color="auto"/>
      </w:divBdr>
    </w:div>
    <w:div w:id="50425137">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58405088">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9787013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959279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0438638">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5558968">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806741">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4545492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125872">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3392257">
      <w:bodyDiv w:val="1"/>
      <w:marLeft w:val="0"/>
      <w:marRight w:val="0"/>
      <w:marTop w:val="0"/>
      <w:marBottom w:val="0"/>
      <w:divBdr>
        <w:top w:val="none" w:sz="0" w:space="0" w:color="auto"/>
        <w:left w:val="none" w:sz="0" w:space="0" w:color="auto"/>
        <w:bottom w:val="none" w:sz="0" w:space="0" w:color="auto"/>
        <w:right w:val="none" w:sz="0" w:space="0" w:color="auto"/>
      </w:divBdr>
    </w:div>
    <w:div w:id="285619935">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39166659">
      <w:bodyDiv w:val="1"/>
      <w:marLeft w:val="0"/>
      <w:marRight w:val="0"/>
      <w:marTop w:val="0"/>
      <w:marBottom w:val="0"/>
      <w:divBdr>
        <w:top w:val="none" w:sz="0" w:space="0" w:color="auto"/>
        <w:left w:val="none" w:sz="0" w:space="0" w:color="auto"/>
        <w:bottom w:val="none" w:sz="0" w:space="0" w:color="auto"/>
        <w:right w:val="none" w:sz="0" w:space="0" w:color="auto"/>
      </w:divBdr>
    </w:div>
    <w:div w:id="34409538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314127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15723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197514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14406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8034402">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508870">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407222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68805015">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184122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4363819">
      <w:bodyDiv w:val="1"/>
      <w:marLeft w:val="0"/>
      <w:marRight w:val="0"/>
      <w:marTop w:val="0"/>
      <w:marBottom w:val="0"/>
      <w:divBdr>
        <w:top w:val="none" w:sz="0" w:space="0" w:color="auto"/>
        <w:left w:val="none" w:sz="0" w:space="0" w:color="auto"/>
        <w:bottom w:val="none" w:sz="0" w:space="0" w:color="auto"/>
        <w:right w:val="none" w:sz="0" w:space="0" w:color="auto"/>
      </w:divBdr>
    </w:div>
    <w:div w:id="596525647">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239265">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1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62155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08897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39064646">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3378694">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4942752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8699406">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4037752">
      <w:bodyDiv w:val="1"/>
      <w:marLeft w:val="0"/>
      <w:marRight w:val="0"/>
      <w:marTop w:val="0"/>
      <w:marBottom w:val="0"/>
      <w:divBdr>
        <w:top w:val="none" w:sz="0" w:space="0" w:color="auto"/>
        <w:left w:val="none" w:sz="0" w:space="0" w:color="auto"/>
        <w:bottom w:val="none" w:sz="0" w:space="0" w:color="auto"/>
        <w:right w:val="none" w:sz="0" w:space="0" w:color="auto"/>
      </w:divBdr>
    </w:div>
    <w:div w:id="7876207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04663799">
      <w:bodyDiv w:val="1"/>
      <w:marLeft w:val="0"/>
      <w:marRight w:val="0"/>
      <w:marTop w:val="0"/>
      <w:marBottom w:val="0"/>
      <w:divBdr>
        <w:top w:val="none" w:sz="0" w:space="0" w:color="auto"/>
        <w:left w:val="none" w:sz="0" w:space="0" w:color="auto"/>
        <w:bottom w:val="none" w:sz="0" w:space="0" w:color="auto"/>
        <w:right w:val="none" w:sz="0" w:space="0" w:color="auto"/>
      </w:divBdr>
    </w:div>
    <w:div w:id="8148384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29311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4595097">
      <w:bodyDiv w:val="1"/>
      <w:marLeft w:val="0"/>
      <w:marRight w:val="0"/>
      <w:marTop w:val="0"/>
      <w:marBottom w:val="0"/>
      <w:divBdr>
        <w:top w:val="none" w:sz="0" w:space="0" w:color="auto"/>
        <w:left w:val="none" w:sz="0" w:space="0" w:color="auto"/>
        <w:bottom w:val="none" w:sz="0" w:space="0" w:color="auto"/>
        <w:right w:val="none" w:sz="0" w:space="0" w:color="auto"/>
      </w:divBdr>
    </w:div>
    <w:div w:id="845291149">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74536139">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297668">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1599192">
      <w:bodyDiv w:val="1"/>
      <w:marLeft w:val="0"/>
      <w:marRight w:val="0"/>
      <w:marTop w:val="0"/>
      <w:marBottom w:val="0"/>
      <w:divBdr>
        <w:top w:val="none" w:sz="0" w:space="0" w:color="auto"/>
        <w:left w:val="none" w:sz="0" w:space="0" w:color="auto"/>
        <w:bottom w:val="none" w:sz="0" w:space="0" w:color="auto"/>
        <w:right w:val="none" w:sz="0" w:space="0" w:color="auto"/>
      </w:divBdr>
    </w:div>
    <w:div w:id="928008373">
      <w:bodyDiv w:val="1"/>
      <w:marLeft w:val="0"/>
      <w:marRight w:val="0"/>
      <w:marTop w:val="0"/>
      <w:marBottom w:val="0"/>
      <w:divBdr>
        <w:top w:val="none" w:sz="0" w:space="0" w:color="auto"/>
        <w:left w:val="none" w:sz="0" w:space="0" w:color="auto"/>
        <w:bottom w:val="none" w:sz="0" w:space="0" w:color="auto"/>
        <w:right w:val="none" w:sz="0" w:space="0" w:color="auto"/>
      </w:divBdr>
    </w:div>
    <w:div w:id="9307470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4866325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235126">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9376054">
      <w:bodyDiv w:val="1"/>
      <w:marLeft w:val="0"/>
      <w:marRight w:val="0"/>
      <w:marTop w:val="0"/>
      <w:marBottom w:val="0"/>
      <w:divBdr>
        <w:top w:val="none" w:sz="0" w:space="0" w:color="auto"/>
        <w:left w:val="none" w:sz="0" w:space="0" w:color="auto"/>
        <w:bottom w:val="none" w:sz="0" w:space="0" w:color="auto"/>
        <w:right w:val="none" w:sz="0" w:space="0" w:color="auto"/>
      </w:divBdr>
    </w:div>
    <w:div w:id="103260824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4136400">
      <w:bodyDiv w:val="1"/>
      <w:marLeft w:val="0"/>
      <w:marRight w:val="0"/>
      <w:marTop w:val="0"/>
      <w:marBottom w:val="0"/>
      <w:divBdr>
        <w:top w:val="none" w:sz="0" w:space="0" w:color="auto"/>
        <w:left w:val="none" w:sz="0" w:space="0" w:color="auto"/>
        <w:bottom w:val="none" w:sz="0" w:space="0" w:color="auto"/>
        <w:right w:val="none" w:sz="0" w:space="0" w:color="auto"/>
      </w:divBdr>
    </w:div>
    <w:div w:id="1064139893">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9235315">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7820708">
      <w:bodyDiv w:val="1"/>
      <w:marLeft w:val="0"/>
      <w:marRight w:val="0"/>
      <w:marTop w:val="0"/>
      <w:marBottom w:val="0"/>
      <w:divBdr>
        <w:top w:val="none" w:sz="0" w:space="0" w:color="auto"/>
        <w:left w:val="none" w:sz="0" w:space="0" w:color="auto"/>
        <w:bottom w:val="none" w:sz="0" w:space="0" w:color="auto"/>
        <w:right w:val="none" w:sz="0" w:space="0" w:color="auto"/>
      </w:divBdr>
    </w:div>
    <w:div w:id="1079136726">
      <w:bodyDiv w:val="1"/>
      <w:marLeft w:val="0"/>
      <w:marRight w:val="0"/>
      <w:marTop w:val="0"/>
      <w:marBottom w:val="0"/>
      <w:divBdr>
        <w:top w:val="none" w:sz="0" w:space="0" w:color="auto"/>
        <w:left w:val="none" w:sz="0" w:space="0" w:color="auto"/>
        <w:bottom w:val="none" w:sz="0" w:space="0" w:color="auto"/>
        <w:right w:val="none" w:sz="0" w:space="0" w:color="auto"/>
      </w:divBdr>
    </w:div>
    <w:div w:id="1082145711">
      <w:bodyDiv w:val="1"/>
      <w:marLeft w:val="0"/>
      <w:marRight w:val="0"/>
      <w:marTop w:val="0"/>
      <w:marBottom w:val="0"/>
      <w:divBdr>
        <w:top w:val="none" w:sz="0" w:space="0" w:color="auto"/>
        <w:left w:val="none" w:sz="0" w:space="0" w:color="auto"/>
        <w:bottom w:val="none" w:sz="0" w:space="0" w:color="auto"/>
        <w:right w:val="none" w:sz="0" w:space="0" w:color="auto"/>
      </w:divBdr>
    </w:div>
    <w:div w:id="1082487151">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099330900">
      <w:bodyDiv w:val="1"/>
      <w:marLeft w:val="0"/>
      <w:marRight w:val="0"/>
      <w:marTop w:val="0"/>
      <w:marBottom w:val="0"/>
      <w:divBdr>
        <w:top w:val="none" w:sz="0" w:space="0" w:color="auto"/>
        <w:left w:val="none" w:sz="0" w:space="0" w:color="auto"/>
        <w:bottom w:val="none" w:sz="0" w:space="0" w:color="auto"/>
        <w:right w:val="none" w:sz="0" w:space="0" w:color="auto"/>
      </w:divBdr>
    </w:div>
    <w:div w:id="1105341358">
      <w:bodyDiv w:val="1"/>
      <w:marLeft w:val="0"/>
      <w:marRight w:val="0"/>
      <w:marTop w:val="0"/>
      <w:marBottom w:val="0"/>
      <w:divBdr>
        <w:top w:val="none" w:sz="0" w:space="0" w:color="auto"/>
        <w:left w:val="none" w:sz="0" w:space="0" w:color="auto"/>
        <w:bottom w:val="none" w:sz="0" w:space="0" w:color="auto"/>
        <w:right w:val="none" w:sz="0" w:space="0" w:color="auto"/>
      </w:divBdr>
    </w:div>
    <w:div w:id="1106272898">
      <w:bodyDiv w:val="1"/>
      <w:marLeft w:val="0"/>
      <w:marRight w:val="0"/>
      <w:marTop w:val="0"/>
      <w:marBottom w:val="0"/>
      <w:divBdr>
        <w:top w:val="none" w:sz="0" w:space="0" w:color="auto"/>
        <w:left w:val="none" w:sz="0" w:space="0" w:color="auto"/>
        <w:bottom w:val="none" w:sz="0" w:space="0" w:color="auto"/>
        <w:right w:val="none" w:sz="0" w:space="0" w:color="auto"/>
      </w:divBdr>
    </w:div>
    <w:div w:id="1115757963">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37839431">
      <w:bodyDiv w:val="1"/>
      <w:marLeft w:val="0"/>
      <w:marRight w:val="0"/>
      <w:marTop w:val="0"/>
      <w:marBottom w:val="0"/>
      <w:divBdr>
        <w:top w:val="none" w:sz="0" w:space="0" w:color="auto"/>
        <w:left w:val="none" w:sz="0" w:space="0" w:color="auto"/>
        <w:bottom w:val="none" w:sz="0" w:space="0" w:color="auto"/>
        <w:right w:val="none" w:sz="0" w:space="0" w:color="auto"/>
      </w:divBdr>
    </w:div>
    <w:div w:id="1140002607">
      <w:bodyDiv w:val="1"/>
      <w:marLeft w:val="0"/>
      <w:marRight w:val="0"/>
      <w:marTop w:val="0"/>
      <w:marBottom w:val="0"/>
      <w:divBdr>
        <w:top w:val="none" w:sz="0" w:space="0" w:color="auto"/>
        <w:left w:val="none" w:sz="0" w:space="0" w:color="auto"/>
        <w:bottom w:val="none" w:sz="0" w:space="0" w:color="auto"/>
        <w:right w:val="none" w:sz="0" w:space="0" w:color="auto"/>
      </w:divBdr>
    </w:div>
    <w:div w:id="1150681172">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2240225">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82075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300251">
      <w:bodyDiv w:val="1"/>
      <w:marLeft w:val="0"/>
      <w:marRight w:val="0"/>
      <w:marTop w:val="0"/>
      <w:marBottom w:val="0"/>
      <w:divBdr>
        <w:top w:val="none" w:sz="0" w:space="0" w:color="auto"/>
        <w:left w:val="none" w:sz="0" w:space="0" w:color="auto"/>
        <w:bottom w:val="none" w:sz="0" w:space="0" w:color="auto"/>
        <w:right w:val="none" w:sz="0" w:space="0" w:color="auto"/>
      </w:divBdr>
    </w:div>
    <w:div w:id="1175147924">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87330213">
      <w:bodyDiv w:val="1"/>
      <w:marLeft w:val="0"/>
      <w:marRight w:val="0"/>
      <w:marTop w:val="0"/>
      <w:marBottom w:val="0"/>
      <w:divBdr>
        <w:top w:val="none" w:sz="0" w:space="0" w:color="auto"/>
        <w:left w:val="none" w:sz="0" w:space="0" w:color="auto"/>
        <w:bottom w:val="none" w:sz="0" w:space="0" w:color="auto"/>
        <w:right w:val="none" w:sz="0" w:space="0" w:color="auto"/>
      </w:divBdr>
    </w:div>
    <w:div w:id="118922384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660898">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3029844">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20561360">
      <w:bodyDiv w:val="1"/>
      <w:marLeft w:val="0"/>
      <w:marRight w:val="0"/>
      <w:marTop w:val="0"/>
      <w:marBottom w:val="0"/>
      <w:divBdr>
        <w:top w:val="none" w:sz="0" w:space="0" w:color="auto"/>
        <w:left w:val="none" w:sz="0" w:space="0" w:color="auto"/>
        <w:bottom w:val="none" w:sz="0" w:space="0" w:color="auto"/>
        <w:right w:val="none" w:sz="0" w:space="0" w:color="auto"/>
      </w:divBdr>
    </w:div>
    <w:div w:id="1428115774">
      <w:bodyDiv w:val="1"/>
      <w:marLeft w:val="0"/>
      <w:marRight w:val="0"/>
      <w:marTop w:val="0"/>
      <w:marBottom w:val="0"/>
      <w:divBdr>
        <w:top w:val="none" w:sz="0" w:space="0" w:color="auto"/>
        <w:left w:val="none" w:sz="0" w:space="0" w:color="auto"/>
        <w:bottom w:val="none" w:sz="0" w:space="0" w:color="auto"/>
        <w:right w:val="none" w:sz="0" w:space="0" w:color="auto"/>
      </w:divBdr>
    </w:div>
    <w:div w:id="14325804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7886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07787156">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22553894">
      <w:bodyDiv w:val="1"/>
      <w:marLeft w:val="0"/>
      <w:marRight w:val="0"/>
      <w:marTop w:val="0"/>
      <w:marBottom w:val="0"/>
      <w:divBdr>
        <w:top w:val="none" w:sz="0" w:space="0" w:color="auto"/>
        <w:left w:val="none" w:sz="0" w:space="0" w:color="auto"/>
        <w:bottom w:val="none" w:sz="0" w:space="0" w:color="auto"/>
        <w:right w:val="none" w:sz="0" w:space="0" w:color="auto"/>
      </w:divBdr>
    </w:div>
    <w:div w:id="15267952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9075389">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01986543">
      <w:bodyDiv w:val="1"/>
      <w:marLeft w:val="0"/>
      <w:marRight w:val="0"/>
      <w:marTop w:val="0"/>
      <w:marBottom w:val="0"/>
      <w:divBdr>
        <w:top w:val="none" w:sz="0" w:space="0" w:color="auto"/>
        <w:left w:val="none" w:sz="0" w:space="0" w:color="auto"/>
        <w:bottom w:val="none" w:sz="0" w:space="0" w:color="auto"/>
        <w:right w:val="none" w:sz="0" w:space="0" w:color="auto"/>
      </w:divBdr>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2303662">
      <w:bodyDiv w:val="1"/>
      <w:marLeft w:val="0"/>
      <w:marRight w:val="0"/>
      <w:marTop w:val="0"/>
      <w:marBottom w:val="0"/>
      <w:divBdr>
        <w:top w:val="none" w:sz="0" w:space="0" w:color="auto"/>
        <w:left w:val="none" w:sz="0" w:space="0" w:color="auto"/>
        <w:bottom w:val="none" w:sz="0" w:space="0" w:color="auto"/>
        <w:right w:val="none" w:sz="0" w:space="0" w:color="auto"/>
      </w:divBdr>
    </w:div>
    <w:div w:id="1625774939">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2132664">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506742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434785">
      <w:bodyDiv w:val="1"/>
      <w:marLeft w:val="0"/>
      <w:marRight w:val="0"/>
      <w:marTop w:val="0"/>
      <w:marBottom w:val="0"/>
      <w:divBdr>
        <w:top w:val="none" w:sz="0" w:space="0" w:color="auto"/>
        <w:left w:val="none" w:sz="0" w:space="0" w:color="auto"/>
        <w:bottom w:val="none" w:sz="0" w:space="0" w:color="auto"/>
        <w:right w:val="none" w:sz="0" w:space="0" w:color="auto"/>
      </w:divBdr>
    </w:div>
    <w:div w:id="1690132485">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5836802">
      <w:bodyDiv w:val="1"/>
      <w:marLeft w:val="0"/>
      <w:marRight w:val="0"/>
      <w:marTop w:val="0"/>
      <w:marBottom w:val="0"/>
      <w:divBdr>
        <w:top w:val="none" w:sz="0" w:space="0" w:color="auto"/>
        <w:left w:val="none" w:sz="0" w:space="0" w:color="auto"/>
        <w:bottom w:val="none" w:sz="0" w:space="0" w:color="auto"/>
        <w:right w:val="none" w:sz="0" w:space="0" w:color="auto"/>
      </w:divBdr>
    </w:div>
    <w:div w:id="169792628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138205">
      <w:bodyDiv w:val="1"/>
      <w:marLeft w:val="0"/>
      <w:marRight w:val="0"/>
      <w:marTop w:val="0"/>
      <w:marBottom w:val="0"/>
      <w:divBdr>
        <w:top w:val="none" w:sz="0" w:space="0" w:color="auto"/>
        <w:left w:val="none" w:sz="0" w:space="0" w:color="auto"/>
        <w:bottom w:val="none" w:sz="0" w:space="0" w:color="auto"/>
        <w:right w:val="none" w:sz="0" w:space="0" w:color="auto"/>
      </w:divBdr>
    </w:div>
    <w:div w:id="1751391477">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6606265">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3548226">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6359899">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12289563">
      <w:bodyDiv w:val="1"/>
      <w:marLeft w:val="0"/>
      <w:marRight w:val="0"/>
      <w:marTop w:val="0"/>
      <w:marBottom w:val="0"/>
      <w:divBdr>
        <w:top w:val="none" w:sz="0" w:space="0" w:color="auto"/>
        <w:left w:val="none" w:sz="0" w:space="0" w:color="auto"/>
        <w:bottom w:val="none" w:sz="0" w:space="0" w:color="auto"/>
        <w:right w:val="none" w:sz="0" w:space="0" w:color="auto"/>
      </w:divBdr>
    </w:div>
    <w:div w:id="1822039989">
      <w:bodyDiv w:val="1"/>
      <w:marLeft w:val="0"/>
      <w:marRight w:val="0"/>
      <w:marTop w:val="0"/>
      <w:marBottom w:val="0"/>
      <w:divBdr>
        <w:top w:val="none" w:sz="0" w:space="0" w:color="auto"/>
        <w:left w:val="none" w:sz="0" w:space="0" w:color="auto"/>
        <w:bottom w:val="none" w:sz="0" w:space="0" w:color="auto"/>
        <w:right w:val="none" w:sz="0" w:space="0" w:color="auto"/>
      </w:divBdr>
    </w:div>
    <w:div w:id="1828009267">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5756335">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3938">
      <w:bodyDiv w:val="1"/>
      <w:marLeft w:val="0"/>
      <w:marRight w:val="0"/>
      <w:marTop w:val="0"/>
      <w:marBottom w:val="0"/>
      <w:divBdr>
        <w:top w:val="none" w:sz="0" w:space="0" w:color="auto"/>
        <w:left w:val="none" w:sz="0" w:space="0" w:color="auto"/>
        <w:bottom w:val="none" w:sz="0" w:space="0" w:color="auto"/>
        <w:right w:val="none" w:sz="0" w:space="0" w:color="auto"/>
      </w:divBdr>
    </w:div>
    <w:div w:id="1863394576">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896062">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 w:id="1921016025">
      <w:bodyDiv w:val="1"/>
      <w:marLeft w:val="0"/>
      <w:marRight w:val="0"/>
      <w:marTop w:val="0"/>
      <w:marBottom w:val="0"/>
      <w:divBdr>
        <w:top w:val="none" w:sz="0" w:space="0" w:color="auto"/>
        <w:left w:val="none" w:sz="0" w:space="0" w:color="auto"/>
        <w:bottom w:val="none" w:sz="0" w:space="0" w:color="auto"/>
        <w:right w:val="none" w:sz="0" w:space="0" w:color="auto"/>
      </w:divBdr>
    </w:div>
    <w:div w:id="1922449839">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2464924">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329472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8634578">
      <w:bodyDiv w:val="1"/>
      <w:marLeft w:val="0"/>
      <w:marRight w:val="0"/>
      <w:marTop w:val="0"/>
      <w:marBottom w:val="0"/>
      <w:divBdr>
        <w:top w:val="none" w:sz="0" w:space="0" w:color="auto"/>
        <w:left w:val="none" w:sz="0" w:space="0" w:color="auto"/>
        <w:bottom w:val="none" w:sz="0" w:space="0" w:color="auto"/>
        <w:right w:val="none" w:sz="0" w:space="0" w:color="auto"/>
      </w:divBdr>
    </w:div>
    <w:div w:id="196280401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7659472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1352456">
      <w:bodyDiv w:val="1"/>
      <w:marLeft w:val="0"/>
      <w:marRight w:val="0"/>
      <w:marTop w:val="0"/>
      <w:marBottom w:val="0"/>
      <w:divBdr>
        <w:top w:val="none" w:sz="0" w:space="0" w:color="auto"/>
        <w:left w:val="none" w:sz="0" w:space="0" w:color="auto"/>
        <w:bottom w:val="none" w:sz="0" w:space="0" w:color="auto"/>
        <w:right w:val="none" w:sz="0" w:space="0" w:color="auto"/>
      </w:divBdr>
    </w:div>
    <w:div w:id="2003199838">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625215">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5889571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4989499">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6192182">
      <w:bodyDiv w:val="1"/>
      <w:marLeft w:val="0"/>
      <w:marRight w:val="0"/>
      <w:marTop w:val="0"/>
      <w:marBottom w:val="0"/>
      <w:divBdr>
        <w:top w:val="none" w:sz="0" w:space="0" w:color="auto"/>
        <w:left w:val="none" w:sz="0" w:space="0" w:color="auto"/>
        <w:bottom w:val="none" w:sz="0" w:space="0" w:color="auto"/>
        <w:right w:val="none" w:sz="0" w:space="0" w:color="auto"/>
      </w:divBdr>
    </w:div>
    <w:div w:id="213667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12307</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R1-2500314</vt:lpstr>
    </vt:vector>
  </TitlesOfParts>
  <Company>Nokia &amp; NSN</Company>
  <LinksUpToDate>false</LinksUpToDate>
  <CharactersWithSpaces>11056</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R1-2500314</dc:title>
  <dc:subject/>
  <dc:creator/>
  <cp:keywords/>
  <dc:description/>
  <cp:lastModifiedBy>Sumaila Mahama</cp:lastModifiedBy>
  <cp:revision>1524</cp:revision>
  <cp:lastPrinted>2022-04-20T10:29:00Z</cp:lastPrinted>
  <dcterms:created xsi:type="dcterms:W3CDTF">2022-09-30T15:35:00Z</dcterms:created>
  <dcterms:modified xsi:type="dcterms:W3CDTF">2025-10-02T14:01:00Z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